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资源与环境工程学院（含喀斯特重点实验室）</w:t>
      </w:r>
    </w:p>
    <w:p>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硕士研究生特等奖学金申报条件</w:t>
      </w:r>
    </w:p>
    <w:p>
      <w:pPr>
        <w:spacing w:line="360" w:lineRule="auto"/>
        <w:jc w:val="center"/>
        <w:rPr>
          <w:rFonts w:hint="eastAsia" w:asciiTheme="majorEastAsia" w:hAnsiTheme="majorEastAsia" w:eastAsiaTheme="majorEastAsia" w:cstheme="majorEastAsia"/>
          <w:b/>
          <w:color w:val="auto"/>
          <w:kern w:val="44"/>
          <w:sz w:val="44"/>
          <w:szCs w:val="44"/>
        </w:rPr>
      </w:pP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根据学校学科发展和研究生教育改革需求，鼓励和引导我</w:t>
      </w:r>
      <w:r>
        <w:rPr>
          <w:rFonts w:hint="eastAsia" w:ascii="仿宋_GB2312" w:hAnsi="仿宋" w:eastAsia="仿宋_GB2312" w:cs="仿宋"/>
          <w:color w:val="auto"/>
          <w:sz w:val="32"/>
          <w:szCs w:val="32"/>
          <w:lang w:val="en-US" w:eastAsia="zh-CN"/>
        </w:rPr>
        <w:t>院</w:t>
      </w:r>
      <w:r>
        <w:rPr>
          <w:rFonts w:hint="eastAsia" w:ascii="仿宋_GB2312" w:hAnsi="仿宋" w:eastAsia="仿宋_GB2312" w:cs="仿宋"/>
          <w:color w:val="auto"/>
          <w:sz w:val="32"/>
          <w:szCs w:val="32"/>
        </w:rPr>
        <w:t>研究生发表更高水平学术论文。</w:t>
      </w:r>
      <w:r>
        <w:rPr>
          <w:rFonts w:hint="eastAsia" w:ascii="仿宋_GB2312" w:hAnsi="仿宋" w:eastAsia="仿宋_GB2312" w:cs="仿宋"/>
          <w:color w:val="auto"/>
          <w:sz w:val="32"/>
          <w:szCs w:val="32"/>
          <w:lang w:val="en-US" w:eastAsia="zh-CN"/>
        </w:rPr>
        <w:t>我院</w:t>
      </w:r>
      <w:r>
        <w:rPr>
          <w:rFonts w:hint="eastAsia" w:ascii="仿宋_GB2312" w:hAnsi="仿宋" w:eastAsia="仿宋_GB2312" w:cs="仿宋"/>
          <w:color w:val="auto"/>
          <w:sz w:val="32"/>
          <w:szCs w:val="32"/>
        </w:rPr>
        <w:t>硕士研究生特等奖学金除了满足</w:t>
      </w:r>
      <w:r>
        <w:rPr>
          <w:rFonts w:hint="eastAsia" w:ascii="仿宋_GB2312" w:hAnsi="仿宋" w:eastAsia="仿宋_GB2312" w:cs="仿宋"/>
          <w:color w:val="auto"/>
          <w:sz w:val="32"/>
          <w:szCs w:val="32"/>
          <w:lang w:val="en-US" w:eastAsia="zh-CN"/>
        </w:rPr>
        <w:t>贵州大学</w:t>
      </w:r>
      <w:r>
        <w:rPr>
          <w:rFonts w:hint="eastAsia" w:ascii="仿宋_GB2312" w:hAnsi="仿宋" w:eastAsia="仿宋_GB2312" w:cs="仿宋"/>
          <w:color w:val="auto"/>
          <w:sz w:val="32"/>
          <w:szCs w:val="32"/>
        </w:rPr>
        <w:t>学业奖学金的基本条件外，还需满足以下条件方能申报：</w:t>
      </w:r>
    </w:p>
    <w:p>
      <w:pPr>
        <w:spacing w:line="560" w:lineRule="exact"/>
        <w:ind w:firstLine="643" w:firstLineChars="200"/>
        <w:jc w:val="left"/>
        <w:rPr>
          <w:rFonts w:hint="eastAsia" w:ascii="黑体" w:hAnsi="黑体" w:eastAsia="黑体" w:cs="仿宋"/>
          <w:b/>
          <w:bCs/>
          <w:color w:val="auto"/>
          <w:sz w:val="32"/>
          <w:szCs w:val="32"/>
        </w:rPr>
      </w:pPr>
      <w:r>
        <w:rPr>
          <w:rFonts w:hint="eastAsia" w:ascii="黑体" w:hAnsi="黑体" w:eastAsia="黑体" w:cs="仿宋"/>
          <w:b/>
          <w:bCs/>
          <w:color w:val="auto"/>
          <w:sz w:val="32"/>
          <w:szCs w:val="32"/>
        </w:rPr>
        <w:t>一、科研论文类</w:t>
      </w:r>
    </w:p>
    <w:p>
      <w:pPr>
        <w:spacing w:line="56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（一）发表论文要求</w:t>
      </w: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自然科学类研究生需</w:t>
      </w:r>
      <w:r>
        <w:rPr>
          <w:rFonts w:hint="eastAsia" w:ascii="仿宋_GB2312" w:hAnsi="仿宋" w:eastAsia="仿宋_GB2312" w:cs="仿宋"/>
          <w:color w:val="auto"/>
          <w:sz w:val="32"/>
          <w:szCs w:val="32"/>
          <w:lang w:val="en-US" w:eastAsia="zh-CN"/>
        </w:rPr>
        <w:t>以第一作者名义，</w:t>
      </w:r>
      <w:r>
        <w:rPr>
          <w:rFonts w:hint="eastAsia" w:ascii="仿宋_GB2312" w:hAnsi="仿宋" w:eastAsia="仿宋_GB2312" w:cs="仿宋"/>
          <w:color w:val="auto"/>
          <w:sz w:val="32"/>
          <w:szCs w:val="32"/>
        </w:rPr>
        <w:t>至少</w:t>
      </w:r>
      <w:r>
        <w:rPr>
          <w:rFonts w:hint="eastAsia" w:ascii="仿宋_GB2312" w:hAnsi="仿宋" w:eastAsia="仿宋_GB2312" w:cs="仿宋"/>
          <w:color w:val="auto"/>
          <w:sz w:val="32"/>
          <w:szCs w:val="32"/>
          <w:lang w:val="en-US" w:eastAsia="zh-CN"/>
        </w:rPr>
        <w:t>有</w:t>
      </w:r>
      <w:r>
        <w:rPr>
          <w:rFonts w:hint="eastAsia" w:ascii="仿宋_GB2312" w:hAnsi="仿宋" w:eastAsia="仿宋_GB2312" w:cs="仿宋"/>
          <w:color w:val="auto"/>
          <w:sz w:val="32"/>
          <w:szCs w:val="32"/>
        </w:rPr>
        <w:t>一篇与本学科相关的学术论文发表在SCI、EI源刊、一级学报等类型的期刊。</w:t>
      </w: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明确标识研究生本人为第一作者且贵州大学为第一作者单位</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共同第一作者</w:t>
      </w:r>
      <w:r>
        <w:rPr>
          <w:rFonts w:hint="eastAsia" w:ascii="仿宋_GB2312" w:hAnsi="仿宋" w:eastAsia="仿宋_GB2312" w:cs="仿宋"/>
          <w:color w:val="auto"/>
          <w:sz w:val="32"/>
          <w:szCs w:val="32"/>
          <w:lang w:val="en-US" w:eastAsia="zh-CN"/>
        </w:rPr>
        <w:t>且排名第二、通讯作者</w:t>
      </w:r>
      <w:r>
        <w:rPr>
          <w:rFonts w:hint="eastAsia" w:ascii="仿宋_GB2312" w:hAnsi="仿宋" w:eastAsia="仿宋_GB2312" w:cs="仿宋"/>
          <w:color w:val="auto"/>
          <w:sz w:val="32"/>
          <w:szCs w:val="32"/>
        </w:rPr>
        <w:t>等类型文章不可参加评定</w:t>
      </w:r>
      <w:r>
        <w:rPr>
          <w:rFonts w:hint="eastAsia" w:ascii="仿宋_GB2312" w:hAnsi="仿宋" w:eastAsia="仿宋_GB2312" w:cs="仿宋"/>
          <w:color w:val="auto"/>
          <w:sz w:val="32"/>
          <w:szCs w:val="32"/>
          <w:lang w:eastAsia="zh-CN"/>
        </w:rPr>
        <w:t>。</w:t>
      </w:r>
    </w:p>
    <w:p>
      <w:pPr>
        <w:spacing w:line="56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（二）期刊类型认定</w:t>
      </w: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1.中文期刊类型认定方法</w:t>
      </w: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请参评研究生自行打印本人论文在“中国知网”上的期刊信息。</w:t>
      </w: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2.外文期刊类型认定方法</w:t>
      </w:r>
    </w:p>
    <w:p>
      <w:pPr>
        <w:spacing w:line="560" w:lineRule="exact"/>
        <w:ind w:firstLine="640" w:firstLineChars="200"/>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rPr>
        <w:t>请参评研究生自行</w:t>
      </w:r>
      <w:r>
        <w:rPr>
          <w:rFonts w:hint="eastAsia" w:ascii="仿宋_GB2312" w:hAnsi="仿宋" w:eastAsia="仿宋_GB2312" w:cs="仿宋"/>
          <w:color w:val="auto"/>
          <w:sz w:val="32"/>
          <w:szCs w:val="32"/>
          <w:lang w:val="en-US" w:eastAsia="zh-CN"/>
        </w:rPr>
        <w:t>到图书馆开具文章检索报告。</w:t>
      </w:r>
    </w:p>
    <w:p>
      <w:pPr>
        <w:spacing w:line="56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（三）期刊时间认定</w:t>
      </w:r>
    </w:p>
    <w:p>
      <w:pPr>
        <w:spacing w:line="560" w:lineRule="exact"/>
        <w:ind w:firstLine="640" w:firstLineChars="200"/>
        <w:rPr>
          <w:rFonts w:hint="eastAsia" w:ascii="仿宋_GB2312" w:hAnsi="仿宋" w:eastAsia="仿宋_GB2312" w:cs="仿宋"/>
          <w:color w:val="auto"/>
          <w:sz w:val="32"/>
          <w:szCs w:val="32"/>
          <w:lang w:eastAsia="zh-CN"/>
        </w:rPr>
      </w:pPr>
      <w:r>
        <w:rPr>
          <w:rFonts w:hint="eastAsia" w:ascii="仿宋_GB2312" w:hAnsi="仿宋" w:eastAsia="仿宋_GB2312" w:cs="仿宋"/>
          <w:color w:val="auto"/>
          <w:sz w:val="32"/>
          <w:szCs w:val="32"/>
        </w:rPr>
        <w:t>论文必须见刊才能计分</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时间认定以见刊时间为准</w:t>
      </w:r>
      <w:r>
        <w:rPr>
          <w:rFonts w:hint="eastAsia" w:ascii="仿宋_GB2312" w:hAnsi="仿宋" w:eastAsia="仿宋_GB2312" w:cs="仿宋"/>
          <w:color w:val="auto"/>
          <w:sz w:val="32"/>
          <w:szCs w:val="32"/>
        </w:rPr>
        <w:t>。见刊依据为：期刊原件、知网可查询论文、期刊官网可查询期刊目录三者之一即可</w:t>
      </w:r>
      <w:r>
        <w:rPr>
          <w:rFonts w:hint="eastAsia" w:ascii="仿宋_GB2312" w:hAnsi="仿宋" w:eastAsia="仿宋_GB2312" w:cs="仿宋"/>
          <w:color w:val="auto"/>
          <w:sz w:val="32"/>
          <w:szCs w:val="32"/>
          <w:lang w:eastAsia="zh-CN"/>
        </w:rPr>
        <w:t>。</w:t>
      </w:r>
    </w:p>
    <w:p>
      <w:pPr>
        <w:spacing w:line="560" w:lineRule="exact"/>
        <w:ind w:firstLine="643" w:firstLineChars="200"/>
        <w:jc w:val="left"/>
        <w:rPr>
          <w:rFonts w:hint="eastAsia" w:ascii="黑体" w:hAnsi="黑体" w:eastAsia="黑体" w:cs="仿宋"/>
          <w:b/>
          <w:bCs/>
          <w:color w:val="auto"/>
          <w:sz w:val="32"/>
          <w:szCs w:val="32"/>
        </w:rPr>
      </w:pPr>
      <w:r>
        <w:rPr>
          <w:rFonts w:hint="eastAsia" w:ascii="黑体" w:hAnsi="黑体" w:eastAsia="黑体" w:cs="仿宋"/>
          <w:b/>
          <w:bCs/>
          <w:color w:val="auto"/>
          <w:sz w:val="32"/>
          <w:szCs w:val="32"/>
        </w:rPr>
        <w:t>二、学科竞赛类</w:t>
      </w:r>
    </w:p>
    <w:p>
      <w:pPr>
        <w:spacing w:line="560" w:lineRule="exact"/>
        <w:ind w:firstLine="640" w:firstLineChars="200"/>
        <w:rPr>
          <w:rFonts w:hint="default" w:ascii="仿宋_GB2312" w:hAnsi="仿宋" w:eastAsia="仿宋_GB2312" w:cs="仿宋"/>
          <w:color w:val="auto"/>
          <w:sz w:val="32"/>
          <w:szCs w:val="32"/>
          <w:lang w:val="en-US"/>
        </w:rPr>
      </w:pPr>
      <w:r>
        <w:rPr>
          <w:rFonts w:hint="eastAsia" w:ascii="仿宋_GB2312" w:hAnsi="仿宋" w:eastAsia="仿宋_GB2312" w:cs="仿宋"/>
          <w:color w:val="auto"/>
          <w:sz w:val="32"/>
          <w:szCs w:val="32"/>
        </w:rPr>
        <w:t>在中国“互联网+”大学生创新创业大赛、“挑战杯”全国大学生课外学术科技作品竞赛、“挑战杯”中国大学生创业计划大赛、“外研社杯”全国英语演讲大赛、全国研究生数学建模竞赛、全国研究生电子设计竞赛等具有较大影响力的竞赛获国家级三等奖及以上奖项。</w:t>
      </w:r>
      <w:bookmarkStart w:id="0" w:name="_Toc5706"/>
      <w:bookmarkStart w:id="1" w:name="_Toc4312_WPSOffice_Level2"/>
      <w:bookmarkStart w:id="2" w:name="_Toc16598"/>
      <w:bookmarkStart w:id="3" w:name="_Toc12363"/>
      <w:bookmarkStart w:id="4" w:name="_Toc2147_WPSOffice_Level2"/>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详见</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资源与环境工程学院（含喀斯特重点实验室）研究生</w:t>
      </w:r>
      <w:bookmarkEnd w:id="0"/>
      <w:bookmarkEnd w:id="1"/>
      <w:bookmarkEnd w:id="2"/>
      <w:bookmarkEnd w:id="3"/>
      <w:bookmarkEnd w:id="4"/>
      <w:r>
        <w:rPr>
          <w:rFonts w:hint="eastAsia" w:ascii="仿宋_GB2312" w:hAnsi="仿宋" w:eastAsia="仿宋_GB2312" w:cs="仿宋"/>
          <w:color w:val="auto"/>
          <w:sz w:val="32"/>
          <w:szCs w:val="32"/>
          <w:lang w:val="en-US" w:eastAsia="zh-CN"/>
        </w:rPr>
        <w:t>奖学金综合测评实施细则》附件1》）</w:t>
      </w:r>
    </w:p>
    <w:p>
      <w:pPr>
        <w:spacing w:line="560" w:lineRule="exact"/>
        <w:ind w:firstLine="643" w:firstLineChars="200"/>
        <w:jc w:val="left"/>
        <w:rPr>
          <w:rFonts w:hint="eastAsia" w:ascii="黑体" w:hAnsi="黑体" w:eastAsia="黑体" w:cs="仿宋"/>
          <w:b/>
          <w:bCs/>
          <w:color w:val="auto"/>
          <w:sz w:val="32"/>
          <w:szCs w:val="32"/>
        </w:rPr>
      </w:pPr>
      <w:r>
        <w:rPr>
          <w:rFonts w:hint="eastAsia" w:ascii="黑体" w:hAnsi="黑体" w:eastAsia="黑体" w:cs="仿宋"/>
          <w:b/>
          <w:bCs/>
          <w:color w:val="auto"/>
          <w:sz w:val="32"/>
          <w:szCs w:val="32"/>
        </w:rPr>
        <w:t>三、突出贡献类</w:t>
      </w:r>
    </w:p>
    <w:p>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利用所学的专业知识在服务经济社会发展中做出突出贡献，其成果实施或技术应用对地方经济建设和社会发展推动作用明显，取得突出的经济效益或社会效益，并获得省部级以上表彰。</w:t>
      </w: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rFonts w:hint="eastAsia" w:ascii="仿宋" w:hAnsi="仿宋" w:eastAsia="仿宋" w:cs="仿宋"/>
          <w:color w:val="auto"/>
          <w:sz w:val="32"/>
          <w:szCs w:val="32"/>
        </w:rPr>
      </w:pPr>
    </w:p>
    <w:p>
      <w:pPr>
        <w:spacing w:line="560" w:lineRule="exact"/>
        <w:rPr>
          <w:color w:val="auto"/>
          <w:sz w:val="32"/>
          <w:szCs w:val="32"/>
        </w:rPr>
      </w:pPr>
    </w:p>
    <w:p>
      <w:pPr>
        <w:spacing w:line="360" w:lineRule="exact"/>
        <w:rPr>
          <w:color w:val="auto"/>
        </w:rPr>
      </w:pPr>
    </w:p>
    <w:p>
      <w:pPr>
        <w:spacing w:line="360" w:lineRule="exact"/>
        <w:rPr>
          <w:color w:val="auto"/>
        </w:rPr>
      </w:pPr>
    </w:p>
    <w:p>
      <w:pPr>
        <w:spacing w:line="360" w:lineRule="exact"/>
        <w:rPr>
          <w:color w:val="auto"/>
        </w:rPr>
      </w:pPr>
    </w:p>
    <w:p>
      <w:pPr>
        <w:spacing w:line="360" w:lineRule="exact"/>
        <w:rPr>
          <w:color w:val="auto"/>
        </w:rPr>
      </w:pPr>
    </w:p>
    <w:p>
      <w:pPr>
        <w:spacing w:line="360" w:lineRule="exact"/>
        <w:rPr>
          <w:color w:val="auto"/>
        </w:rPr>
      </w:pPr>
    </w:p>
    <w:p>
      <w:pPr>
        <w:spacing w:line="360" w:lineRule="exact"/>
        <w:rPr>
          <w:rFonts w:hint="eastAsia"/>
          <w:color w:val="auto"/>
        </w:rPr>
      </w:pPr>
    </w:p>
    <w:p>
      <w:pPr>
        <w:spacing w:line="360" w:lineRule="exact"/>
        <w:rPr>
          <w:color w:val="auto"/>
        </w:rPr>
      </w:pPr>
    </w:p>
    <w:p>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资源与环境工程学院（含喀斯特重点实验室）</w:t>
      </w:r>
    </w:p>
    <w:p>
      <w:pPr>
        <w:spacing w:line="360" w:lineRule="auto"/>
        <w:jc w:val="center"/>
        <w:rPr>
          <w:rFonts w:hint="eastAsia" w:asciiTheme="majorEastAsia" w:hAnsiTheme="majorEastAsia" w:eastAsiaTheme="majorEastAsia" w:cstheme="majorEastAsia"/>
          <w:b/>
          <w:color w:val="auto"/>
          <w:kern w:val="44"/>
          <w:sz w:val="44"/>
          <w:szCs w:val="44"/>
          <w:lang w:val="en-US" w:eastAsia="zh-CN"/>
        </w:rPr>
      </w:pPr>
      <w:r>
        <w:rPr>
          <w:rFonts w:hint="eastAsia" w:asciiTheme="majorEastAsia" w:hAnsiTheme="majorEastAsia" w:eastAsiaTheme="majorEastAsia" w:cstheme="majorEastAsia"/>
          <w:b/>
          <w:color w:val="auto"/>
          <w:kern w:val="44"/>
          <w:sz w:val="44"/>
          <w:szCs w:val="44"/>
        </w:rPr>
        <w:t>研究生单项奖学金</w:t>
      </w:r>
      <w:r>
        <w:rPr>
          <w:rFonts w:hint="eastAsia" w:asciiTheme="majorEastAsia" w:hAnsiTheme="majorEastAsia" w:eastAsiaTheme="majorEastAsia" w:cstheme="majorEastAsia"/>
          <w:b/>
          <w:color w:val="auto"/>
          <w:kern w:val="44"/>
          <w:sz w:val="44"/>
          <w:szCs w:val="44"/>
          <w:lang w:val="en-US" w:eastAsia="zh-CN"/>
        </w:rPr>
        <w:t>计分办法</w:t>
      </w:r>
    </w:p>
    <w:p>
      <w:pPr>
        <w:spacing w:line="560" w:lineRule="exact"/>
        <w:jc w:val="center"/>
        <w:rPr>
          <w:rFonts w:hint="default" w:ascii="方正小标宋简体" w:hAnsi="仿宋" w:eastAsia="方正小标宋简体" w:cs="仿宋"/>
          <w:color w:val="auto"/>
          <w:sz w:val="44"/>
          <w:szCs w:val="44"/>
          <w:lang w:val="en-US" w:eastAsia="zh-CN"/>
        </w:rPr>
      </w:pPr>
    </w:p>
    <w:p>
      <w:pPr>
        <w:spacing w:line="560" w:lineRule="exact"/>
        <w:rPr>
          <w:rFonts w:hint="default" w:ascii="仿宋" w:hAnsi="仿宋" w:eastAsia="仿宋" w:cs="仿宋"/>
          <w:color w:val="auto"/>
          <w:sz w:val="32"/>
          <w:szCs w:val="32"/>
          <w:lang w:val="en-US" w:eastAsia="zh-CN"/>
        </w:rPr>
      </w:pPr>
      <w:bookmarkStart w:id="5" w:name="_Hlk527622917"/>
      <w:r>
        <w:rPr>
          <w:rFonts w:hint="eastAsia" w:ascii="黑体" w:hAnsi="黑体" w:eastAsia="黑体" w:cs="仿宋"/>
          <w:b/>
          <w:bCs/>
          <w:color w:val="auto"/>
          <w:sz w:val="32"/>
          <w:szCs w:val="32"/>
          <w:lang w:val="en-US" w:eastAsia="zh-CN"/>
        </w:rPr>
        <w:t xml:space="preserve">  </w:t>
      </w:r>
      <w:r>
        <w:rPr>
          <w:rFonts w:hint="eastAsia" w:ascii="仿宋" w:hAnsi="仿宋" w:eastAsia="仿宋" w:cs="仿宋"/>
          <w:color w:val="auto"/>
          <w:sz w:val="32"/>
          <w:szCs w:val="32"/>
          <w:lang w:val="en-US" w:eastAsia="zh-CN"/>
        </w:rPr>
        <w:t xml:space="preserve">  根据贵州大学制定的《贵州大学研究生奖学金评定办法》（修订），结合资环学院及实验室特点特制定了《资源与环境工程学院（含喀斯特重点实验室）研究生单项奖学金计分办法》，学院将根据学校单项奖学金分配名额、学生成果申报、计分情况，由党政联席会讨论决定获单项奖学金的人员名单。</w:t>
      </w:r>
    </w:p>
    <w:p>
      <w:pPr>
        <w:spacing w:line="560" w:lineRule="exact"/>
        <w:rPr>
          <w:rFonts w:hint="default" w:ascii="黑体" w:hAnsi="黑体" w:eastAsia="黑体" w:cs="仿宋"/>
          <w:b/>
          <w:bCs/>
          <w:color w:val="auto"/>
          <w:sz w:val="32"/>
          <w:szCs w:val="32"/>
          <w:lang w:val="en-US" w:eastAsia="zh-CN"/>
        </w:rPr>
      </w:pPr>
      <w:r>
        <w:rPr>
          <w:rFonts w:hint="eastAsia" w:ascii="黑体" w:hAnsi="黑体" w:eastAsia="黑体" w:cs="仿宋"/>
          <w:b/>
          <w:bCs/>
          <w:color w:val="auto"/>
          <w:sz w:val="32"/>
          <w:szCs w:val="32"/>
          <w:lang w:val="en-US" w:eastAsia="zh-CN"/>
        </w:rPr>
        <w:t xml:space="preserve">  </w:t>
      </w:r>
    </w:p>
    <w:p>
      <w:pPr>
        <w:spacing w:line="560" w:lineRule="exact"/>
        <w:rPr>
          <w:rFonts w:hint="eastAsia" w:ascii="黑体" w:hAnsi="黑体" w:eastAsia="黑体" w:cs="仿宋"/>
          <w:b/>
          <w:bCs/>
          <w:color w:val="auto"/>
          <w:sz w:val="32"/>
          <w:szCs w:val="32"/>
        </w:rPr>
      </w:pPr>
      <w:r>
        <w:rPr>
          <w:rFonts w:hint="eastAsia" w:ascii="黑体" w:hAnsi="黑体" w:eastAsia="黑体" w:cs="仿宋"/>
          <w:b/>
          <w:bCs/>
          <w:color w:val="auto"/>
          <w:sz w:val="32"/>
          <w:szCs w:val="32"/>
        </w:rPr>
        <w:t>一、践行习近平新时代中国特色社会主义思想</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1.主题宣讲</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以较高的道德标准要求自己，践行习近平新时代中国特色社会主义思想，积极开展主题鲜明、联系实际的宣讲活动，取得良好的宣传效果。以开展宣讲的宣传报道原件或网络媒体完整截图为支撑材料。按照宣讲的影响程度加分标准如下：</w:t>
      </w:r>
    </w:p>
    <w:tbl>
      <w:tblPr>
        <w:tblStyle w:val="3"/>
        <w:tblpPr w:leftFromText="180" w:rightFromText="180" w:vertAnchor="text" w:horzAnchor="page" w:tblpX="2415" w:tblpY="2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2"/>
        <w:gridCol w:w="4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3562" w:type="dxa"/>
            <w:tcBorders>
              <w:top w:val="single" w:color="auto" w:sz="8" w:space="0"/>
            </w:tcBorders>
            <w:noWrap w:val="0"/>
            <w:vAlign w:val="center"/>
          </w:tcPr>
          <w:p>
            <w:pPr>
              <w:spacing w:line="560" w:lineRule="exact"/>
              <w:ind w:firstLine="640" w:firstLineChars="200"/>
              <w:jc w:val="center"/>
              <w:rPr>
                <w:rFonts w:hint="eastAsia" w:ascii="仿宋" w:hAnsi="仿宋" w:eastAsia="仿宋" w:cs="仿宋"/>
                <w:color w:val="auto"/>
                <w:sz w:val="32"/>
                <w:szCs w:val="32"/>
              </w:rPr>
            </w:pPr>
            <w:bookmarkStart w:id="6" w:name="OLE_LINK2"/>
            <w:r>
              <w:rPr>
                <w:rFonts w:hint="eastAsia" w:ascii="仿宋" w:hAnsi="仿宋" w:eastAsia="仿宋" w:cs="仿宋"/>
                <w:color w:val="auto"/>
                <w:sz w:val="32"/>
                <w:szCs w:val="32"/>
              </w:rPr>
              <w:t>主题宣讲级别</w:t>
            </w:r>
          </w:p>
        </w:tc>
        <w:tc>
          <w:tcPr>
            <w:tcW w:w="4238" w:type="dxa"/>
            <w:tcBorders>
              <w:top w:val="single" w:color="auto" w:sz="8" w:space="0"/>
            </w:tcBorders>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238" w:type="dxa"/>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238" w:type="dxa"/>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562" w:type="dxa"/>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238" w:type="dxa"/>
            <w:noWrap w:val="0"/>
            <w:vAlign w:val="center"/>
          </w:tcPr>
          <w:p>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562" w:type="dxa"/>
            <w:tcBorders>
              <w:bottom w:val="single" w:color="auto" w:sz="8" w:space="0"/>
            </w:tcBorders>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238" w:type="dxa"/>
            <w:tcBorders>
              <w:bottom w:val="single" w:color="auto" w:sz="8" w:space="0"/>
            </w:tcBorders>
            <w:noWrap w:val="0"/>
            <w:vAlign w:val="center"/>
          </w:tcPr>
          <w:p>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bookmarkEnd w:id="6"/>
    </w:tbl>
    <w:p>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 </w:t>
      </w:r>
    </w:p>
    <w:p>
      <w:pPr>
        <w:spacing w:line="560" w:lineRule="exact"/>
        <w:ind w:firstLine="643" w:firstLineChars="200"/>
        <w:rPr>
          <w:rFonts w:hint="eastAsia" w:ascii="仿宋" w:hAnsi="仿宋" w:eastAsia="仿宋" w:cs="仿宋"/>
          <w:b/>
          <w:bCs/>
          <w:color w:val="auto"/>
          <w:sz w:val="32"/>
          <w:szCs w:val="32"/>
        </w:rPr>
      </w:pPr>
    </w:p>
    <w:p>
      <w:pPr>
        <w:spacing w:line="560" w:lineRule="exact"/>
        <w:ind w:firstLine="643" w:firstLineChars="200"/>
        <w:rPr>
          <w:rFonts w:hint="eastAsia" w:ascii="仿宋" w:hAnsi="仿宋" w:eastAsia="仿宋" w:cs="仿宋"/>
          <w:b/>
          <w:bCs/>
          <w:color w:val="auto"/>
          <w:sz w:val="32"/>
          <w:szCs w:val="32"/>
        </w:rPr>
      </w:pPr>
    </w:p>
    <w:p>
      <w:pPr>
        <w:spacing w:line="560" w:lineRule="exact"/>
        <w:ind w:firstLine="643" w:firstLineChars="200"/>
        <w:rPr>
          <w:rFonts w:hint="eastAsia" w:ascii="仿宋" w:hAnsi="仿宋" w:eastAsia="仿宋" w:cs="仿宋"/>
          <w:b/>
          <w:bCs/>
          <w:color w:val="auto"/>
          <w:sz w:val="32"/>
          <w:szCs w:val="32"/>
        </w:rPr>
      </w:pPr>
    </w:p>
    <w:p>
      <w:pPr>
        <w:spacing w:line="560" w:lineRule="exact"/>
        <w:ind w:firstLine="643" w:firstLineChars="200"/>
        <w:rPr>
          <w:rFonts w:hint="eastAsia" w:ascii="仿宋" w:hAnsi="仿宋" w:eastAsia="仿宋" w:cs="仿宋"/>
          <w:b/>
          <w:bCs/>
          <w:color w:val="auto"/>
          <w:sz w:val="32"/>
          <w:szCs w:val="32"/>
        </w:rPr>
      </w:pPr>
    </w:p>
    <w:p>
      <w:pPr>
        <w:spacing w:line="560" w:lineRule="exact"/>
        <w:rPr>
          <w:rFonts w:hint="eastAsia" w:ascii="仿宋" w:hAnsi="仿宋" w:eastAsia="仿宋" w:cs="仿宋"/>
          <w:b/>
          <w:bCs/>
          <w:color w:val="auto"/>
          <w:sz w:val="32"/>
          <w:szCs w:val="32"/>
        </w:rPr>
      </w:pP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注：以上同一项活动，按主题宣讲最高级别加分，不累计加分。</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 xml:space="preserve"> 2.发表文章</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加强理论学习，研习习近平新时代中国特色社会主义思想，并在各大报刊、网络媒介发表宣扬正能量的</w:t>
      </w:r>
      <w:r>
        <w:rPr>
          <w:rFonts w:hint="eastAsia" w:ascii="仿宋" w:hAnsi="仿宋" w:eastAsia="仿宋" w:cs="仿宋"/>
          <w:color w:val="auto"/>
          <w:sz w:val="32"/>
          <w:szCs w:val="32"/>
          <w:lang w:val="en-US" w:eastAsia="zh-CN"/>
        </w:rPr>
        <w:t>原创</w:t>
      </w:r>
      <w:r>
        <w:rPr>
          <w:rFonts w:hint="eastAsia" w:ascii="仿宋" w:hAnsi="仿宋" w:eastAsia="仿宋" w:cs="仿宋"/>
          <w:color w:val="auto"/>
          <w:sz w:val="32"/>
          <w:szCs w:val="32"/>
        </w:rPr>
        <w:t>文章</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作者排名前2）</w:t>
      </w:r>
      <w:r>
        <w:rPr>
          <w:rFonts w:hint="eastAsia" w:ascii="仿宋" w:hAnsi="仿宋" w:eastAsia="仿宋" w:cs="仿宋"/>
          <w:color w:val="auto"/>
          <w:sz w:val="32"/>
          <w:szCs w:val="32"/>
        </w:rPr>
        <w:t>。以纸质报刊原件和网络媒体完整截图为支撑材料。按照报刊、网络媒介的影响力加分标准如下：</w:t>
      </w:r>
    </w:p>
    <w:tbl>
      <w:tblPr>
        <w:tblStyle w:val="3"/>
        <w:tblpPr w:leftFromText="180" w:rightFromText="180" w:vertAnchor="text" w:horzAnchor="page" w:tblpXSpec="center" w:tblpY="199"/>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3"/>
        <w:gridCol w:w="4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528" w:type="pct"/>
            <w:tcBorders>
              <w:top w:val="single" w:color="auto" w:sz="8" w:space="0"/>
            </w:tcBorders>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报刊、网络媒介影响力</w:t>
            </w:r>
          </w:p>
        </w:tc>
        <w:tc>
          <w:tcPr>
            <w:tcW w:w="2471" w:type="pct"/>
            <w:tcBorders>
              <w:top w:val="single" w:color="auto" w:sz="8" w:space="0"/>
            </w:tcBorders>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528" w:type="pct"/>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2471" w:type="pct"/>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528" w:type="pct"/>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2471" w:type="pct"/>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528" w:type="pct"/>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2471" w:type="pct"/>
            <w:noWrap w:val="0"/>
            <w:vAlign w:val="center"/>
          </w:tcPr>
          <w:p>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528" w:type="pct"/>
            <w:tcBorders>
              <w:bottom w:val="single" w:color="auto" w:sz="8" w:space="0"/>
            </w:tcBorders>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2471" w:type="pct"/>
            <w:tcBorders>
              <w:bottom w:val="single" w:color="auto" w:sz="8" w:space="0"/>
            </w:tcBorders>
            <w:noWrap w:val="0"/>
            <w:vAlign w:val="center"/>
          </w:tcPr>
          <w:p>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tbl>
    <w:p>
      <w:pPr>
        <w:spacing w:line="560" w:lineRule="exact"/>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注：</w:t>
      </w:r>
      <w:r>
        <w:rPr>
          <w:rFonts w:hint="eastAsia" w:ascii="仿宋" w:hAnsi="仿宋" w:eastAsia="仿宋" w:cs="仿宋"/>
          <w:color w:val="auto"/>
          <w:sz w:val="32"/>
          <w:szCs w:val="32"/>
        </w:rPr>
        <w:t>以上同一项活动，按发表文章影响力最大的媒介加分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不累计加分。</w:t>
      </w:r>
      <w:r>
        <w:rPr>
          <w:rFonts w:hint="eastAsia" w:ascii="仿宋" w:hAnsi="仿宋" w:eastAsia="仿宋" w:cs="仿宋"/>
          <w:color w:val="auto"/>
          <w:sz w:val="32"/>
          <w:szCs w:val="32"/>
          <w:lang w:val="en-US" w:eastAsia="zh-CN"/>
        </w:rPr>
        <w:t>校级以上媒体作者单位必须是贵州大学，校级媒体必须注明第一培养单位。</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3.参加活动</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积极参与立足新时代，践行新思想活动，特别是参加学习习近平2011年5月9日在我校中国文化书院讲话的相关活动。在活动中承担相关任务，为学校及学院带来良好社会评价。参加同一活动负责相关任务并在活动中获得荣誉，按最高项加分，不累计加分（校级、院级活动必须</w:t>
      </w:r>
      <w:r>
        <w:rPr>
          <w:rFonts w:hint="eastAsia" w:ascii="仿宋" w:hAnsi="仿宋" w:eastAsia="仿宋" w:cs="仿宋"/>
          <w:color w:val="auto"/>
          <w:sz w:val="32"/>
          <w:szCs w:val="32"/>
          <w:lang w:val="en-US" w:eastAsia="zh-CN"/>
        </w:rPr>
        <w:t>要以推文形式</w:t>
      </w:r>
      <w:r>
        <w:rPr>
          <w:rFonts w:hint="eastAsia" w:ascii="仿宋" w:hAnsi="仿宋" w:eastAsia="仿宋" w:cs="仿宋"/>
          <w:color w:val="auto"/>
          <w:sz w:val="32"/>
          <w:szCs w:val="32"/>
        </w:rPr>
        <w:t>在</w:t>
      </w:r>
      <w:r>
        <w:rPr>
          <w:rFonts w:hint="eastAsia" w:ascii="仿宋" w:hAnsi="仿宋" w:eastAsia="仿宋" w:cs="仿宋"/>
          <w:color w:val="auto"/>
          <w:sz w:val="32"/>
          <w:szCs w:val="32"/>
          <w:lang w:val="en-US" w:eastAsia="zh-CN"/>
        </w:rPr>
        <w:t>院内媒体、</w:t>
      </w:r>
      <w:r>
        <w:rPr>
          <w:rFonts w:hint="eastAsia" w:ascii="仿宋" w:hAnsi="仿宋" w:eastAsia="仿宋" w:cs="仿宋"/>
          <w:color w:val="auto"/>
          <w:sz w:val="32"/>
          <w:szCs w:val="32"/>
        </w:rPr>
        <w:t>贵研新声或贵大官网上进行过新闻媒体宣传，</w:t>
      </w:r>
      <w:r>
        <w:rPr>
          <w:rFonts w:hint="eastAsia" w:ascii="仿宋" w:hAnsi="仿宋" w:eastAsia="仿宋" w:cs="仿宋"/>
          <w:color w:val="auto"/>
          <w:sz w:val="32"/>
          <w:szCs w:val="32"/>
          <w:lang w:val="en-US" w:eastAsia="zh-CN"/>
        </w:rPr>
        <w:t>若宣传平台高于举办方级别另加3分，</w:t>
      </w:r>
      <w:r>
        <w:rPr>
          <w:rFonts w:hint="eastAsia" w:ascii="仿宋" w:hAnsi="仿宋" w:eastAsia="仿宋" w:cs="仿宋"/>
          <w:color w:val="auto"/>
          <w:sz w:val="32"/>
          <w:szCs w:val="32"/>
        </w:rPr>
        <w:t>具有相关支撑材料）。根据参加活动的级别加分标准如下：</w:t>
      </w:r>
    </w:p>
    <w:p>
      <w:pPr>
        <w:spacing w:line="560" w:lineRule="exact"/>
        <w:ind w:left="638" w:leftChars="304" w:firstLine="0" w:firstLineChars="0"/>
        <w:jc w:val="left"/>
        <w:rPr>
          <w:rFonts w:hint="eastAsia" w:ascii="仿宋" w:hAnsi="仿宋" w:eastAsia="仿宋" w:cs="仿宋"/>
          <w:color w:val="auto"/>
          <w:sz w:val="32"/>
          <w:szCs w:val="32"/>
          <w:lang w:val="en-US" w:eastAsia="zh-CN"/>
        </w:rPr>
      </w:pPr>
    </w:p>
    <w:p>
      <w:pPr>
        <w:spacing w:line="560" w:lineRule="exact"/>
        <w:ind w:firstLine="640" w:firstLineChars="200"/>
        <w:rPr>
          <w:rFonts w:hint="eastAsia" w:ascii="仿宋" w:hAnsi="仿宋" w:eastAsia="仿宋" w:cs="仿宋"/>
          <w:color w:val="auto"/>
          <w:sz w:val="32"/>
          <w:szCs w:val="32"/>
        </w:rPr>
      </w:pPr>
    </w:p>
    <w:tbl>
      <w:tblPr>
        <w:tblStyle w:val="3"/>
        <w:tblW w:w="0" w:type="auto"/>
        <w:jc w:val="center"/>
        <w:tblLayout w:type="fixed"/>
        <w:tblCellMar>
          <w:top w:w="0" w:type="dxa"/>
          <w:left w:w="0" w:type="dxa"/>
          <w:bottom w:w="0" w:type="dxa"/>
          <w:right w:w="0" w:type="dxa"/>
        </w:tblCellMar>
      </w:tblPr>
      <w:tblGrid>
        <w:gridCol w:w="1868"/>
        <w:gridCol w:w="1538"/>
        <w:gridCol w:w="1395"/>
        <w:gridCol w:w="1455"/>
        <w:gridCol w:w="1680"/>
      </w:tblGrid>
      <w:tr>
        <w:tblPrEx>
          <w:tblCellMar>
            <w:top w:w="0" w:type="dxa"/>
            <w:left w:w="0" w:type="dxa"/>
            <w:bottom w:w="0" w:type="dxa"/>
            <w:right w:w="0" w:type="dxa"/>
          </w:tblCellMar>
        </w:tblPrEx>
        <w:trPr>
          <w:trHeight w:val="575" w:hRule="atLeast"/>
          <w:jc w:val="center"/>
        </w:trPr>
        <w:tc>
          <w:tcPr>
            <w:tcW w:w="186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53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39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45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68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tblPrEx>
          <w:tblCellMar>
            <w:top w:w="0" w:type="dxa"/>
            <w:left w:w="0" w:type="dxa"/>
            <w:bottom w:w="0" w:type="dxa"/>
            <w:right w:w="0" w:type="dxa"/>
          </w:tblCellMar>
        </w:tblPrEx>
        <w:trPr>
          <w:trHeight w:val="351" w:hRule="atLeast"/>
          <w:jc w:val="center"/>
        </w:trPr>
        <w:tc>
          <w:tcPr>
            <w:tcW w:w="186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53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39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5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68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tblPrEx>
          <w:tblCellMar>
            <w:top w:w="0" w:type="dxa"/>
            <w:left w:w="0" w:type="dxa"/>
            <w:bottom w:w="0" w:type="dxa"/>
            <w:right w:w="0" w:type="dxa"/>
          </w:tblCellMar>
        </w:tblPrEx>
        <w:trPr>
          <w:trHeight w:val="36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tblPrEx>
          <w:tblCellMar>
            <w:top w:w="0" w:type="dxa"/>
            <w:left w:w="0" w:type="dxa"/>
            <w:bottom w:w="0" w:type="dxa"/>
            <w:right w:w="0" w:type="dxa"/>
          </w:tblCellMar>
        </w:tblPrEx>
        <w:trPr>
          <w:trHeight w:val="33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tblPrEx>
          <w:tblCellMar>
            <w:top w:w="0" w:type="dxa"/>
            <w:left w:w="0" w:type="dxa"/>
            <w:bottom w:w="0" w:type="dxa"/>
            <w:right w:w="0" w:type="dxa"/>
          </w:tblCellMar>
        </w:tblPrEx>
        <w:trPr>
          <w:trHeight w:val="337"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25</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8</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注：以上同一项活动，按最高项加分，不累计加分。</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4.突出事迹</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模范遵守公民基本道德规范，在助人为乐、见义勇为、诚实守信、孝老爱亲</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抗击疫情</w:t>
      </w:r>
      <w:r>
        <w:rPr>
          <w:rFonts w:hint="eastAsia" w:ascii="仿宋" w:hAnsi="仿宋" w:eastAsia="仿宋" w:cs="仿宋"/>
          <w:color w:val="auto"/>
          <w:sz w:val="32"/>
          <w:szCs w:val="32"/>
        </w:rPr>
        <w:t>等方面有突出事迹，在研究生群体中有较高认可度的。突出事迹的支撑材料为报道材料、奖励证书证明等。按突出事件社会影响力加分标准如下：</w:t>
      </w:r>
    </w:p>
    <w:tbl>
      <w:tblPr>
        <w:tblStyle w:val="3"/>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85" w:type="dxa"/>
            <w:tcBorders>
              <w:top w:val="single" w:color="auto" w:sz="8" w:space="0"/>
            </w:tcBorders>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突出事迹影响力</w:t>
            </w:r>
          </w:p>
        </w:tc>
        <w:tc>
          <w:tcPr>
            <w:tcW w:w="4485" w:type="dxa"/>
            <w:tcBorders>
              <w:top w:val="single" w:color="auto" w:sz="8" w:space="0"/>
            </w:tcBorders>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4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4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485" w:type="dxa"/>
            <w:shd w:val="clear" w:color="auto" w:fill="auto"/>
            <w:noWrap w:val="0"/>
            <w:vAlign w:val="center"/>
          </w:tcPr>
          <w:p>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485" w:type="dxa"/>
            <w:shd w:val="clear" w:color="auto" w:fill="auto"/>
            <w:noWrap w:val="0"/>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bl>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注：以上同一项活动，按最高项加分，不累计加分。</w:t>
      </w:r>
    </w:p>
    <w:p>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二、服务贵州地方经济社会发展</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1.志愿服务</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参评学年度参加过重大活动的志愿者工作，并获得服务单位的表彰，或者组织校级及以上层面志愿者活动并在其中担任主要负责人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需相关部门出具材料，含所有成员名单和分工）</w:t>
      </w:r>
      <w:r>
        <w:rPr>
          <w:rFonts w:hint="eastAsia" w:ascii="仿宋" w:hAnsi="仿宋" w:eastAsia="仿宋" w:cs="仿宋"/>
          <w:color w:val="auto"/>
          <w:sz w:val="32"/>
          <w:szCs w:val="32"/>
        </w:rPr>
        <w:t>。如在贵州各地区开展的教育、文化、科技、扶贫及青年工作等方面的志愿服务。志愿服务活动的支持材料为服务单位的奖励证书、相关报道材料等。按照志愿服务的影响力加分标准如下：</w:t>
      </w:r>
    </w:p>
    <w:tbl>
      <w:tblPr>
        <w:tblStyle w:val="3"/>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tcBorders>
              <w:top w:val="single" w:color="auto" w:sz="8" w:space="0"/>
            </w:tcBorders>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志愿服务影响力</w:t>
            </w:r>
          </w:p>
        </w:tc>
        <w:tc>
          <w:tcPr>
            <w:tcW w:w="445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45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45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455" w:type="dxa"/>
            <w:shd w:val="clear" w:color="auto" w:fill="auto"/>
            <w:noWrap w:val="0"/>
            <w:vAlign w:val="center"/>
          </w:tcPr>
          <w:p>
            <w:pPr>
              <w:spacing w:line="560" w:lineRule="exact"/>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45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bl>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注：以上同一项活动，按志愿服务影响力最大的加分，不累计加分。</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2.地方贡献</w:t>
      </w:r>
    </w:p>
    <w:p>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地方贡献=基层技术服务分值+技术成果推广分值+技术改进分值</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地方贡献按照基层技术服务、技术成果推广及技术改进三个部分进行参评，评价标准应结合实际各个部分所产生的实际效益。申请者需提供相关证明材料，技术改进应提供相应公司的证明，基层技术服务和技术成果推广应提供当地政府或学校证明。地方贡献各部分的分值见如下：</w:t>
      </w:r>
    </w:p>
    <w:tbl>
      <w:tblPr>
        <w:tblStyle w:val="3"/>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4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tcBorders>
              <w:top w:val="single" w:color="auto" w:sz="8" w:space="0"/>
            </w:tcBorders>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参评部分</w:t>
            </w:r>
          </w:p>
        </w:tc>
        <w:tc>
          <w:tcPr>
            <w:tcW w:w="4454" w:type="dxa"/>
            <w:tcBorders>
              <w:top w:val="single" w:color="auto" w:sz="8" w:space="0"/>
            </w:tcBorders>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基层技术服务</w:t>
            </w:r>
          </w:p>
        </w:tc>
        <w:tc>
          <w:tcPr>
            <w:tcW w:w="4454"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技术成果推广</w:t>
            </w:r>
          </w:p>
        </w:tc>
        <w:tc>
          <w:tcPr>
            <w:tcW w:w="4454"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技术改进</w:t>
            </w:r>
          </w:p>
        </w:tc>
        <w:tc>
          <w:tcPr>
            <w:tcW w:w="4454" w:type="dxa"/>
            <w:shd w:val="clear" w:color="auto" w:fill="auto"/>
            <w:noWrap w:val="0"/>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bl>
    <w:p>
      <w:pPr>
        <w:spacing w:line="560" w:lineRule="exact"/>
        <w:ind w:firstLine="643" w:firstLineChars="200"/>
        <w:rPr>
          <w:rFonts w:hint="eastAsia" w:ascii="黑体" w:hAnsi="黑体" w:eastAsia="黑体" w:cs="仿宋"/>
          <w:b/>
          <w:bCs/>
          <w:color w:val="auto"/>
          <w:sz w:val="32"/>
          <w:szCs w:val="32"/>
        </w:rPr>
      </w:pPr>
    </w:p>
    <w:p>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三、科技创新和科学研究</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1.创新创业竞赛</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创新创业竞赛是指学生参加的中国“互联网+”大学生创新创业大赛、“挑战杯”中国大学生创业计划大赛等。创新创业竞赛的支撑材料为获奖证书。根据获奖级别加分标准如下：</w:t>
      </w:r>
    </w:p>
    <w:tbl>
      <w:tblPr>
        <w:tblStyle w:val="3"/>
        <w:tblW w:w="0" w:type="auto"/>
        <w:jc w:val="center"/>
        <w:tblLayout w:type="fixed"/>
        <w:tblCellMar>
          <w:top w:w="0" w:type="dxa"/>
          <w:left w:w="0" w:type="dxa"/>
          <w:bottom w:w="0" w:type="dxa"/>
          <w:right w:w="0" w:type="dxa"/>
        </w:tblCellMar>
      </w:tblPr>
      <w:tblGrid>
        <w:gridCol w:w="1759"/>
        <w:gridCol w:w="1485"/>
        <w:gridCol w:w="1487"/>
        <w:gridCol w:w="1484"/>
        <w:gridCol w:w="1485"/>
      </w:tblGrid>
      <w:tr>
        <w:tblPrEx>
          <w:tblCellMar>
            <w:top w:w="0" w:type="dxa"/>
            <w:left w:w="0" w:type="dxa"/>
            <w:bottom w:w="0" w:type="dxa"/>
            <w:right w:w="0" w:type="dxa"/>
          </w:tblCellMar>
        </w:tblPrEx>
        <w:trPr>
          <w:trHeight w:val="635" w:hRule="atLeast"/>
          <w:jc w:val="center"/>
        </w:trPr>
        <w:tc>
          <w:tcPr>
            <w:tcW w:w="1759"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48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487"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484"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48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tblPrEx>
          <w:tblCellMar>
            <w:top w:w="0" w:type="dxa"/>
            <w:left w:w="0" w:type="dxa"/>
            <w:bottom w:w="0" w:type="dxa"/>
            <w:right w:w="0" w:type="dxa"/>
          </w:tblCellMar>
        </w:tblPrEx>
        <w:trPr>
          <w:trHeight w:val="376" w:hRule="atLeast"/>
          <w:jc w:val="center"/>
        </w:trPr>
        <w:tc>
          <w:tcPr>
            <w:tcW w:w="1759"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48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487"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84"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8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tblPrEx>
          <w:tblCellMar>
            <w:top w:w="0" w:type="dxa"/>
            <w:left w:w="0" w:type="dxa"/>
            <w:bottom w:w="0" w:type="dxa"/>
            <w:right w:w="0" w:type="dxa"/>
          </w:tblCellMar>
        </w:tblPrEx>
        <w:trPr>
          <w:trHeight w:val="402"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tblPrEx>
          <w:tblCellMar>
            <w:top w:w="0" w:type="dxa"/>
            <w:left w:w="0" w:type="dxa"/>
            <w:bottom w:w="0" w:type="dxa"/>
            <w:right w:w="0" w:type="dxa"/>
          </w:tblCellMar>
        </w:tblPrEx>
        <w:trPr>
          <w:trHeight w:val="387"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tblPrEx>
          <w:tblCellMar>
            <w:top w:w="0" w:type="dxa"/>
            <w:left w:w="0" w:type="dxa"/>
            <w:bottom w:w="0" w:type="dxa"/>
            <w:right w:w="0" w:type="dxa"/>
          </w:tblCellMar>
        </w:tblPrEx>
        <w:trPr>
          <w:trHeight w:val="352"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15</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注：获奖第一署名单位须为贵州大学，以团体获奖</w:t>
      </w:r>
      <w:r>
        <w:rPr>
          <w:rFonts w:hint="eastAsia" w:ascii="仿宋" w:hAnsi="仿宋" w:eastAsia="仿宋" w:cs="仿宋"/>
          <w:color w:val="auto"/>
          <w:sz w:val="32"/>
          <w:szCs w:val="32"/>
          <w:lang w:val="en-US" w:eastAsia="zh-CN"/>
        </w:rPr>
        <w:t>第一作者加所得分值的100%，第二作者加50%，第三作者加25%，第四作者加5%，其余不加分。</w:t>
      </w:r>
    </w:p>
    <w:p>
      <w:pPr>
        <w:numPr>
          <w:ilvl w:val="0"/>
          <w:numId w:val="1"/>
        </w:num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创业</w:t>
      </w:r>
    </w:p>
    <w:p>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创业分值 = 实际效益分值 + 提供就业岗位数分值 + 注册资本分值</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创业部分按照创业公司的实际效益、提供就业岗位数和注册资本三个部分进行参评，各参评部分各占比重分别为40%、40%和20%。计算方式为以参加申请对象中的最大值缩放到100进行百分比计算。如有3个申请对象，其注册资本分别为A:20万、B:15万和C:10万，则计算方法为：</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A: 200000/2000=100，100×20%=20</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B: 150000/2000=75，75×20%=15</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C: 100000/2000=50，50×20%=10</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公司实际效益和提供就业岗位数也按照同样的方法进行计算，分别得出公司实际效益和提供就业岗位数的分值，最终将各部分进行相加得到创业部分的分值。</w:t>
      </w:r>
    </w:p>
    <w:p>
      <w:pPr>
        <w:spacing w:line="560" w:lineRule="exact"/>
        <w:ind w:firstLine="640" w:firstLineChars="200"/>
        <w:rPr>
          <w:rFonts w:hint="eastAsia" w:ascii="仿宋" w:hAnsi="仿宋" w:eastAsia="仿宋" w:cs="仿宋"/>
          <w:color w:val="auto"/>
          <w:sz w:val="32"/>
          <w:szCs w:val="32"/>
        </w:rPr>
      </w:pPr>
    </w:p>
    <w:p>
      <w:pPr>
        <w:pStyle w:val="2"/>
        <w:numPr>
          <w:ilvl w:val="0"/>
          <w:numId w:val="2"/>
        </w:numPr>
        <w:snapToGrid w:val="0"/>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社会工作和社会活动</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主要奖励管理能力较强、投入时间多，在社会工作中取得突出成绩的研究生干部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需在学院内部担任一级和二级学生干部。</w:t>
      </w:r>
      <w:r>
        <w:rPr>
          <w:rFonts w:hint="eastAsia" w:ascii="仿宋" w:hAnsi="仿宋" w:eastAsia="仿宋" w:cs="仿宋"/>
          <w:color w:val="auto"/>
          <w:sz w:val="32"/>
          <w:szCs w:val="32"/>
        </w:rPr>
        <w:t>社会工作和社会活动成绩由担任社会职务和参加社会活动获奖两部分组成，各部分具体评价标准如下：</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1.社会职务</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热心社会工作，在评选年度内担任研究生干部，积极完成交给组织交给的各项任务，有较强的工作能力和组织能力，工作成绩突出；在同学中有群众基础和较高威信，并能起到模范带头作用，工作勤恳有实效。根据担任职务级别加分标准如下：</w:t>
      </w:r>
    </w:p>
    <w:tbl>
      <w:tblPr>
        <w:tblStyle w:val="3"/>
        <w:tblpPr w:leftFromText="180" w:rightFromText="180" w:vertAnchor="text" w:horzAnchor="page" w:tblpXSpec="center" w:tblpY="105"/>
        <w:tblOverlap w:val="never"/>
        <w:tblW w:w="45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6"/>
        <w:gridCol w:w="836"/>
        <w:gridCol w:w="836"/>
        <w:gridCol w:w="836"/>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970"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pPr>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lang w:bidi="ar"/>
              </w:rPr>
              <w:t xml:space="preserve">  </w:t>
            </w:r>
            <w:r>
              <w:rPr>
                <w:rFonts w:ascii="仿宋" w:hAnsi="仿宋" w:eastAsia="仿宋" w:cs="仿宋"/>
                <w:color w:val="auto"/>
                <w:sz w:val="24"/>
                <w:lang w:bidi="ar"/>
              </w:rPr>
              <w:t xml:space="preserve">                          </w:t>
            </w:r>
            <w:r>
              <w:rPr>
                <w:rFonts w:hint="eastAsia" w:ascii="仿宋" w:hAnsi="仿宋" w:eastAsia="仿宋" w:cs="仿宋"/>
                <w:color w:val="auto"/>
                <w:sz w:val="24"/>
                <w:lang w:bidi="ar"/>
              </w:rPr>
              <w:t xml:space="preserve"> 评价</w:t>
            </w:r>
          </w:p>
          <w:p>
            <w:pPr>
              <w:spacing w:line="360" w:lineRule="auto"/>
              <w:rPr>
                <w:rFonts w:ascii="仿宋" w:hAnsi="仿宋" w:eastAsia="仿宋" w:cs="仿宋"/>
                <w:color w:val="auto"/>
                <w:sz w:val="24"/>
              </w:rPr>
            </w:pPr>
            <w:r>
              <w:rPr>
                <w:rFonts w:hint="eastAsia" w:ascii="仿宋" w:hAnsi="仿宋" w:eastAsia="仿宋" w:cs="仿宋"/>
                <w:color w:val="auto"/>
                <w:sz w:val="24"/>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合格</w:t>
            </w:r>
          </w:p>
        </w:tc>
        <w:tc>
          <w:tcPr>
            <w:tcW w:w="508"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2"/>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exact"/>
          <w:jc w:val="center"/>
        </w:trPr>
        <w:tc>
          <w:tcPr>
            <w:tcW w:w="2970"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560" w:lineRule="exact"/>
              <w:rPr>
                <w:rFonts w:ascii="仿宋" w:hAnsi="仿宋" w:eastAsia="仿宋" w:cs="仿宋"/>
                <w:color w:val="auto"/>
                <w:sz w:val="24"/>
              </w:rPr>
            </w:pPr>
            <w:r>
              <w:rPr>
                <w:rFonts w:hint="eastAsia" w:ascii="仿宋" w:hAnsi="仿宋" w:eastAsia="仿宋" w:cs="仿宋"/>
                <w:color w:val="auto"/>
                <w:sz w:val="24"/>
                <w:lang w:val="en-US" w:eastAsia="zh-CN"/>
              </w:rPr>
              <w:t>一级职务：</w:t>
            </w:r>
            <w:r>
              <w:rPr>
                <w:rFonts w:hint="eastAsia" w:ascii="仿宋" w:hAnsi="仿宋" w:eastAsia="仿宋" w:cs="仿宋"/>
                <w:color w:val="auto"/>
                <w:sz w:val="24"/>
              </w:rPr>
              <w:t>校研会主席/副主席、校博会主席/副主席、</w:t>
            </w:r>
            <w:r>
              <w:rPr>
                <w:rFonts w:hint="eastAsia" w:ascii="仿宋" w:hAnsi="仿宋" w:eastAsia="仿宋" w:cs="仿宋"/>
                <w:color w:val="auto"/>
                <w:sz w:val="24"/>
                <w:lang w:bidi="ar"/>
              </w:rPr>
              <w:t>研究生兼职辅导员、院研会主席、院团总支书记、党支部书记</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50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30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bidi="ar"/>
              </w:rPr>
            </w:pPr>
            <w:r>
              <w:rPr>
                <w:rFonts w:hint="eastAsia" w:ascii="仿宋" w:hAnsi="仿宋" w:eastAsia="仿宋" w:cs="仿宋"/>
                <w:color w:val="auto"/>
                <w:sz w:val="24"/>
                <w:lang w:val="en-US" w:eastAsia="zh-CN" w:bidi="ar"/>
              </w:rPr>
              <w:t>15</w:t>
            </w:r>
          </w:p>
        </w:tc>
        <w:tc>
          <w:tcPr>
            <w:tcW w:w="508"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exact"/>
          <w:jc w:val="center"/>
        </w:trPr>
        <w:tc>
          <w:tcPr>
            <w:tcW w:w="297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仿宋" w:hAnsi="仿宋" w:eastAsia="仿宋" w:cs="仿宋"/>
                <w:color w:val="auto"/>
                <w:sz w:val="24"/>
              </w:rPr>
            </w:pPr>
            <w:r>
              <w:rPr>
                <w:rFonts w:hint="eastAsia" w:ascii="仿宋" w:hAnsi="仿宋" w:eastAsia="仿宋" w:cs="仿宋"/>
                <w:color w:val="auto"/>
                <w:sz w:val="24"/>
                <w:lang w:val="en-US" w:eastAsia="zh-CN" w:bidi="ar"/>
              </w:rPr>
              <w:t>二级职务：</w:t>
            </w:r>
            <w:r>
              <w:rPr>
                <w:rFonts w:hint="eastAsia" w:ascii="仿宋" w:hAnsi="仿宋" w:eastAsia="仿宋" w:cs="仿宋"/>
                <w:color w:val="auto"/>
                <w:sz w:val="24"/>
                <w:lang w:bidi="ar"/>
              </w:rPr>
              <w:t>校职能部门（含院）各学生组织</w:t>
            </w:r>
            <w:r>
              <w:rPr>
                <w:rFonts w:hint="eastAsia" w:ascii="仿宋" w:hAnsi="仿宋" w:eastAsia="仿宋" w:cs="仿宋"/>
                <w:color w:val="auto"/>
                <w:sz w:val="24"/>
                <w:lang w:val="en-US" w:eastAsia="zh-CN" w:bidi="ar"/>
              </w:rPr>
              <w:t>部长/副部长</w:t>
            </w:r>
            <w:r>
              <w:rPr>
                <w:rFonts w:hint="eastAsia" w:ascii="仿宋" w:hAnsi="仿宋" w:eastAsia="仿宋" w:cs="仿宋"/>
                <w:color w:val="auto"/>
                <w:sz w:val="24"/>
                <w:lang w:bidi="ar"/>
              </w:rPr>
              <w:t>、党支部</w:t>
            </w:r>
            <w:r>
              <w:rPr>
                <w:rFonts w:hint="eastAsia" w:ascii="仿宋" w:hAnsi="仿宋" w:eastAsia="仿宋" w:cs="仿宋"/>
                <w:color w:val="auto"/>
                <w:sz w:val="24"/>
                <w:lang w:val="en-US" w:eastAsia="zh-CN" w:bidi="ar"/>
              </w:rPr>
              <w:t>总支委员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功能型党支部）、</w:t>
            </w:r>
            <w:r>
              <w:rPr>
                <w:rFonts w:hint="eastAsia" w:ascii="仿宋" w:hAnsi="仿宋" w:eastAsia="仿宋" w:cs="仿宋"/>
                <w:color w:val="auto"/>
                <w:sz w:val="24"/>
                <w:lang w:bidi="ar"/>
              </w:rPr>
              <w:t>党支部委员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r>
              <w:rPr>
                <w:rFonts w:hint="eastAsia" w:ascii="仿宋" w:hAnsi="仿宋" w:eastAsia="仿宋" w:cs="仿宋"/>
                <w:color w:val="auto"/>
                <w:sz w:val="24"/>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30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15</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color w:val="auto"/>
                <w:sz w:val="24"/>
                <w:lang w:eastAsia="zh-CN" w:bidi="ar"/>
              </w:rPr>
            </w:pPr>
            <w:r>
              <w:rPr>
                <w:rFonts w:hint="eastAsia" w:ascii="仿宋" w:hAnsi="仿宋" w:eastAsia="仿宋" w:cs="仿宋"/>
                <w:color w:val="auto"/>
                <w:sz w:val="24"/>
                <w:lang w:val="en-US" w:eastAsia="zh-CN" w:bidi="ar"/>
              </w:rPr>
              <w:t>8</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jc w:val="center"/>
        </w:trPr>
        <w:tc>
          <w:tcPr>
            <w:tcW w:w="297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jc w:val="left"/>
              <w:rPr>
                <w:rFonts w:ascii="仿宋" w:hAnsi="仿宋" w:eastAsia="仿宋" w:cs="仿宋"/>
                <w:color w:val="auto"/>
                <w:sz w:val="24"/>
              </w:rPr>
            </w:pPr>
            <w:r>
              <w:rPr>
                <w:rFonts w:hint="eastAsia" w:ascii="仿宋" w:hAnsi="仿宋" w:eastAsia="仿宋" w:cs="仿宋"/>
                <w:color w:val="auto"/>
                <w:sz w:val="24"/>
                <w:lang w:val="en-US" w:eastAsia="zh-CN" w:bidi="ar"/>
              </w:rPr>
              <w:t>三级职务：</w:t>
            </w:r>
            <w:r>
              <w:rPr>
                <w:rFonts w:hint="eastAsia" w:ascii="仿宋" w:hAnsi="仿宋" w:eastAsia="仿宋" w:cs="仿宋"/>
                <w:color w:val="auto"/>
                <w:sz w:val="24"/>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20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color w:val="auto"/>
                <w:sz w:val="24"/>
                <w:lang w:eastAsia="zh-CN" w:bidi="ar"/>
              </w:rPr>
            </w:pPr>
            <w:r>
              <w:rPr>
                <w:rFonts w:hint="eastAsia" w:ascii="仿宋" w:hAnsi="仿宋" w:eastAsia="仿宋" w:cs="仿宋"/>
                <w:color w:val="auto"/>
                <w:sz w:val="24"/>
                <w:lang w:val="en-US" w:eastAsia="zh-CN" w:bidi="ar"/>
              </w:rPr>
              <w:t>5</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bl>
    <w:p>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注：“担任职务栏”以最高级别计，不重复计分</w:t>
      </w:r>
      <w:r>
        <w:rPr>
          <w:rFonts w:hint="eastAsia" w:ascii="仿宋" w:hAnsi="仿宋" w:eastAsia="仿宋" w:cs="仿宋"/>
          <w:color w:val="auto"/>
          <w:sz w:val="32"/>
          <w:szCs w:val="32"/>
          <w:lang w:eastAsia="zh-CN"/>
        </w:rPr>
        <w:t>。</w:t>
      </w:r>
    </w:p>
    <w:p>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2.活动获奖</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积极参加健康有益的各类活动，收到较好效果并获得奖项；带头参加由学校、学院或班级等组织的各项活动并获得奖项；按照活动级别加分标准如下：</w:t>
      </w:r>
    </w:p>
    <w:tbl>
      <w:tblPr>
        <w:tblStyle w:val="3"/>
        <w:tblW w:w="0" w:type="auto"/>
        <w:jc w:val="center"/>
        <w:tblLayout w:type="fixed"/>
        <w:tblCellMar>
          <w:top w:w="0" w:type="dxa"/>
          <w:left w:w="0" w:type="dxa"/>
          <w:bottom w:w="0" w:type="dxa"/>
          <w:right w:w="0" w:type="dxa"/>
        </w:tblCellMar>
      </w:tblPr>
      <w:tblGrid>
        <w:gridCol w:w="1918"/>
        <w:gridCol w:w="1408"/>
        <w:gridCol w:w="1545"/>
        <w:gridCol w:w="1575"/>
        <w:gridCol w:w="1590"/>
      </w:tblGrid>
      <w:tr>
        <w:tblPrEx>
          <w:tblCellMar>
            <w:top w:w="0" w:type="dxa"/>
            <w:left w:w="0" w:type="dxa"/>
            <w:bottom w:w="0" w:type="dxa"/>
            <w:right w:w="0" w:type="dxa"/>
          </w:tblCellMar>
        </w:tblPrEx>
        <w:trPr>
          <w:trHeight w:val="575" w:hRule="atLeast"/>
          <w:jc w:val="center"/>
        </w:trPr>
        <w:tc>
          <w:tcPr>
            <w:tcW w:w="191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40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54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57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59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tblPrEx>
          <w:tblCellMar>
            <w:top w:w="0" w:type="dxa"/>
            <w:left w:w="0" w:type="dxa"/>
            <w:bottom w:w="0" w:type="dxa"/>
            <w:right w:w="0" w:type="dxa"/>
          </w:tblCellMar>
        </w:tblPrEx>
        <w:trPr>
          <w:trHeight w:val="361" w:hRule="atLeast"/>
          <w:jc w:val="center"/>
        </w:trPr>
        <w:tc>
          <w:tcPr>
            <w:tcW w:w="191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40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54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57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59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tblPrEx>
          <w:tblCellMar>
            <w:top w:w="0" w:type="dxa"/>
            <w:left w:w="0" w:type="dxa"/>
            <w:bottom w:w="0" w:type="dxa"/>
            <w:right w:w="0" w:type="dxa"/>
          </w:tblCellMar>
        </w:tblPrEx>
        <w:trPr>
          <w:trHeight w:val="417"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tblPrEx>
          <w:tblCellMar>
            <w:top w:w="0" w:type="dxa"/>
            <w:left w:w="0" w:type="dxa"/>
            <w:bottom w:w="0" w:type="dxa"/>
            <w:right w:w="0" w:type="dxa"/>
          </w:tblCellMar>
        </w:tblPrEx>
        <w:trPr>
          <w:trHeight w:val="342"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tblPrEx>
          <w:tblCellMar>
            <w:top w:w="0" w:type="dxa"/>
            <w:left w:w="0" w:type="dxa"/>
            <w:bottom w:w="0" w:type="dxa"/>
            <w:right w:w="0" w:type="dxa"/>
          </w:tblCellMar>
        </w:tblPrEx>
        <w:trPr>
          <w:trHeight w:val="307"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15</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组织活动的级别按照承办单位级别鉴定，若组织校级及以上层面活动影响范围大，获得更高级别刊物报道，按相应更高级别奖项加分。</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同一活动获得多个奖项的，按最高奖项加分；不同活动奖项分数可累加。以团体获奖非</w:t>
      </w:r>
      <w:r>
        <w:rPr>
          <w:rFonts w:hint="eastAsia" w:ascii="仿宋" w:hAnsi="仿宋" w:eastAsia="仿宋" w:cs="仿宋"/>
          <w:color w:val="auto"/>
          <w:sz w:val="32"/>
          <w:szCs w:val="32"/>
          <w:lang w:val="en-US" w:eastAsia="zh-CN"/>
        </w:rPr>
        <w:t>主要</w:t>
      </w:r>
      <w:r>
        <w:rPr>
          <w:rFonts w:hint="eastAsia" w:ascii="仿宋" w:hAnsi="仿宋" w:eastAsia="仿宋" w:cs="仿宋"/>
          <w:color w:val="auto"/>
          <w:sz w:val="32"/>
          <w:szCs w:val="32"/>
        </w:rPr>
        <w:t>负责人须扣除5分。</w:t>
      </w:r>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以贵州大学名义颁发的优秀研究生干部等奖项按校级一等奖加分；由党委研究生工作部、共青团贵州大学委员会等校级职能部门颁发的</w:t>
      </w:r>
      <w:r>
        <w:rPr>
          <w:rFonts w:hint="eastAsia" w:ascii="仿宋" w:hAnsi="仿宋" w:eastAsia="仿宋" w:cs="仿宋"/>
          <w:color w:val="auto"/>
          <w:sz w:val="32"/>
          <w:szCs w:val="32"/>
          <w:lang w:val="en-US" w:eastAsia="zh-CN"/>
        </w:rPr>
        <w:t>优秀党务工作者、</w:t>
      </w:r>
      <w:r>
        <w:rPr>
          <w:rFonts w:hint="eastAsia" w:ascii="仿宋" w:hAnsi="仿宋" w:eastAsia="仿宋" w:cs="仿宋"/>
          <w:color w:val="auto"/>
          <w:sz w:val="32"/>
          <w:szCs w:val="32"/>
        </w:rPr>
        <w:t>先进个人、优秀共青团干部等奖项按校级二等奖加分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优秀工作者、优秀志愿者等按照校级三等奖加分</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院级优秀党务工作者、</w:t>
      </w:r>
      <w:r>
        <w:rPr>
          <w:rFonts w:hint="eastAsia" w:ascii="仿宋" w:hAnsi="仿宋" w:eastAsia="仿宋" w:cs="仿宋"/>
          <w:color w:val="auto"/>
          <w:sz w:val="32"/>
          <w:szCs w:val="32"/>
        </w:rPr>
        <w:t>先进个人、优秀共青团干部</w:t>
      </w:r>
      <w:r>
        <w:rPr>
          <w:rFonts w:hint="eastAsia" w:ascii="仿宋" w:hAnsi="仿宋" w:eastAsia="仿宋" w:cs="仿宋"/>
          <w:color w:val="auto"/>
          <w:sz w:val="32"/>
          <w:szCs w:val="32"/>
          <w:lang w:val="en-US" w:eastAsia="zh-CN"/>
        </w:rPr>
        <w:t>按院一等加分，优秀工作者、优秀志愿者按院二等加分。</w:t>
      </w:r>
    </w:p>
    <w:p>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五、其它</w:t>
      </w:r>
      <w:bookmarkStart w:id="7" w:name="_GoBack"/>
      <w:bookmarkEnd w:id="7"/>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除上述条件以外的其他情况，经</w:t>
      </w:r>
      <w:r>
        <w:rPr>
          <w:rFonts w:hint="eastAsia" w:ascii="仿宋" w:hAnsi="仿宋" w:eastAsia="仿宋" w:cs="仿宋"/>
          <w:color w:val="auto"/>
          <w:sz w:val="32"/>
          <w:szCs w:val="32"/>
          <w:lang w:val="en-US" w:eastAsia="zh-CN"/>
        </w:rPr>
        <w:t>学院党委会</w:t>
      </w:r>
      <w:r>
        <w:rPr>
          <w:rFonts w:hint="eastAsia" w:ascii="仿宋" w:hAnsi="仿宋" w:eastAsia="仿宋" w:cs="仿宋"/>
          <w:color w:val="auto"/>
          <w:sz w:val="32"/>
          <w:szCs w:val="32"/>
        </w:rPr>
        <w:t>讨论决定。</w:t>
      </w:r>
      <w:bookmarkEnd w:id="5"/>
    </w:p>
    <w:p>
      <w:pPr>
        <w:rPr>
          <w:color w:val="auto"/>
        </w:rPr>
      </w:pPr>
    </w:p>
    <w:sectPr>
      <w:pgSz w:w="11906" w:h="16838"/>
      <w:pgMar w:top="1440" w:right="1519" w:bottom="144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D87C0"/>
    <w:multiLevelType w:val="singleLevel"/>
    <w:tmpl w:val="FA3D87C0"/>
    <w:lvl w:ilvl="0" w:tentative="0">
      <w:start w:val="2"/>
      <w:numFmt w:val="decimal"/>
      <w:lvlText w:val="%1."/>
      <w:lvlJc w:val="left"/>
      <w:pPr>
        <w:tabs>
          <w:tab w:val="left" w:pos="312"/>
        </w:tabs>
      </w:pPr>
    </w:lvl>
  </w:abstractNum>
  <w:abstractNum w:abstractNumId="1">
    <w:nsid w:val="00000002"/>
    <w:multiLevelType w:val="singleLevel"/>
    <w:tmpl w:val="0000000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NDQ0MGE2MjJlYzI2YjEwODliMmEzMWU5OTNiM2MifQ=="/>
  </w:docVars>
  <w:rsids>
    <w:rsidRoot w:val="26261DED"/>
    <w:rsid w:val="013C4854"/>
    <w:rsid w:val="06DF5D71"/>
    <w:rsid w:val="0878022B"/>
    <w:rsid w:val="09E1728F"/>
    <w:rsid w:val="0B3F7726"/>
    <w:rsid w:val="0E1D0139"/>
    <w:rsid w:val="164E6412"/>
    <w:rsid w:val="1D816FC3"/>
    <w:rsid w:val="23FF13A9"/>
    <w:rsid w:val="26261DED"/>
    <w:rsid w:val="298A3E0B"/>
    <w:rsid w:val="2C90798A"/>
    <w:rsid w:val="2EAB4607"/>
    <w:rsid w:val="31C96083"/>
    <w:rsid w:val="32E725C8"/>
    <w:rsid w:val="356A61E3"/>
    <w:rsid w:val="357F234A"/>
    <w:rsid w:val="3A7A7584"/>
    <w:rsid w:val="3BBB1019"/>
    <w:rsid w:val="3BFD7385"/>
    <w:rsid w:val="3CC76A63"/>
    <w:rsid w:val="3E731599"/>
    <w:rsid w:val="43C6586D"/>
    <w:rsid w:val="45ED50AE"/>
    <w:rsid w:val="463173BC"/>
    <w:rsid w:val="4EDC5297"/>
    <w:rsid w:val="4FCB6460"/>
    <w:rsid w:val="510A745C"/>
    <w:rsid w:val="5AF820D3"/>
    <w:rsid w:val="5BB849D9"/>
    <w:rsid w:val="5C494E12"/>
    <w:rsid w:val="5C533A65"/>
    <w:rsid w:val="5D72616D"/>
    <w:rsid w:val="5EE27322"/>
    <w:rsid w:val="5EF70510"/>
    <w:rsid w:val="5EFD5F0A"/>
    <w:rsid w:val="5F337B7D"/>
    <w:rsid w:val="60801999"/>
    <w:rsid w:val="61D27FA2"/>
    <w:rsid w:val="620637F3"/>
    <w:rsid w:val="626562A0"/>
    <w:rsid w:val="64437BB5"/>
    <w:rsid w:val="65C6799D"/>
    <w:rsid w:val="6A7A48B2"/>
    <w:rsid w:val="6D7777CF"/>
    <w:rsid w:val="6E8F2F95"/>
    <w:rsid w:val="71B339CF"/>
    <w:rsid w:val="742E508B"/>
    <w:rsid w:val="777A7C36"/>
    <w:rsid w:val="77F42148"/>
    <w:rsid w:val="78F7741A"/>
    <w:rsid w:val="7D407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0"/>
      <w:ind w:left="140" w:firstLine="480"/>
    </w:pPr>
    <w:rPr>
      <w:rFonts w:ascii="仿宋" w:hAnsi="仿宋" w:eastAsia="仿宋"/>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2983</Words>
  <Characters>3177</Characters>
  <Lines>0</Lines>
  <Paragraphs>0</Paragraphs>
  <TotalTime>9</TotalTime>
  <ScaleCrop>false</ScaleCrop>
  <LinksUpToDate>false</LinksUpToDate>
  <CharactersWithSpaces>3224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2022-10-27T07:48:00Z</dcterms:created>
  <dc:creator>test</dc:creator>
  <cp:lastModifiedBy>Lenovo</cp:lastModifiedBy>
  <dcterms:modified xsi:type="dcterms:W3CDTF">2023-10-20T08:36:15Z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6A1E1C4321D544599A8E76DC52C5063C</vt:lpwstr>
  </property>
</Properties>
</file>