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3630F">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资源与环境工程学院（含喀斯特重点实验室）</w:t>
      </w:r>
    </w:p>
    <w:p w14:paraId="37A7C715">
      <w:pPr>
        <w:spacing w:line="360" w:lineRule="auto"/>
        <w:jc w:val="center"/>
        <w:rPr>
          <w:rFonts w:hint="eastAsia" w:asciiTheme="majorEastAsia" w:hAnsiTheme="majorEastAsia" w:eastAsiaTheme="majorEastAsia" w:cstheme="majorEastAsia"/>
          <w:b/>
          <w:color w:val="auto"/>
          <w:kern w:val="44"/>
          <w:sz w:val="44"/>
          <w:szCs w:val="44"/>
          <w:lang w:val="en-US" w:eastAsia="zh-CN"/>
        </w:rPr>
      </w:pPr>
      <w:r>
        <w:rPr>
          <w:rFonts w:hint="eastAsia" w:asciiTheme="majorEastAsia" w:hAnsiTheme="majorEastAsia" w:eastAsiaTheme="majorEastAsia" w:cstheme="majorEastAsia"/>
          <w:b/>
          <w:color w:val="auto"/>
          <w:kern w:val="44"/>
          <w:sz w:val="44"/>
          <w:szCs w:val="44"/>
        </w:rPr>
        <w:t>研究生单项奖学金</w:t>
      </w:r>
      <w:r>
        <w:rPr>
          <w:rFonts w:hint="eastAsia" w:asciiTheme="majorEastAsia" w:hAnsiTheme="majorEastAsia" w:eastAsiaTheme="majorEastAsia" w:cstheme="majorEastAsia"/>
          <w:b/>
          <w:color w:val="auto"/>
          <w:kern w:val="44"/>
          <w:sz w:val="44"/>
          <w:szCs w:val="44"/>
          <w:lang w:val="en-US" w:eastAsia="zh-CN"/>
        </w:rPr>
        <w:t>计分办法</w:t>
      </w:r>
    </w:p>
    <w:p w14:paraId="7A20F41A">
      <w:pPr>
        <w:spacing w:line="560" w:lineRule="exact"/>
        <w:jc w:val="center"/>
        <w:rPr>
          <w:rFonts w:hint="default" w:ascii="方正小标宋简体" w:hAnsi="仿宋" w:eastAsia="方正小标宋简体" w:cs="仿宋"/>
          <w:color w:val="auto"/>
          <w:sz w:val="44"/>
          <w:szCs w:val="44"/>
          <w:lang w:val="en-US" w:eastAsia="zh-CN"/>
        </w:rPr>
      </w:pPr>
    </w:p>
    <w:p w14:paraId="5A677158">
      <w:pPr>
        <w:spacing w:line="560" w:lineRule="exact"/>
        <w:rPr>
          <w:rFonts w:hint="default" w:ascii="仿宋" w:hAnsi="仿宋" w:eastAsia="仿宋" w:cs="仿宋"/>
          <w:color w:val="auto"/>
          <w:sz w:val="32"/>
          <w:szCs w:val="32"/>
          <w:lang w:val="en-US" w:eastAsia="zh-CN"/>
        </w:rPr>
      </w:pPr>
      <w:bookmarkStart w:id="0" w:name="_Hlk527622917"/>
      <w:r>
        <w:rPr>
          <w:rFonts w:hint="eastAsia" w:ascii="黑体" w:hAnsi="黑体" w:eastAsia="黑体" w:cs="仿宋"/>
          <w:b/>
          <w:bCs/>
          <w:color w:val="auto"/>
          <w:sz w:val="32"/>
          <w:szCs w:val="32"/>
          <w:lang w:val="en-US" w:eastAsia="zh-CN"/>
        </w:rPr>
        <w:t xml:space="preserve">  </w:t>
      </w:r>
      <w:r>
        <w:rPr>
          <w:rFonts w:hint="eastAsia" w:ascii="仿宋" w:hAnsi="仿宋" w:eastAsia="仿宋" w:cs="仿宋"/>
          <w:color w:val="auto"/>
          <w:sz w:val="32"/>
          <w:szCs w:val="32"/>
          <w:lang w:val="en-US" w:eastAsia="zh-CN"/>
        </w:rPr>
        <w:t xml:space="preserve">  根据《贵州大学研究生奖学金评定办法》（修订），结合资环学院及实验室特点特制定本办法。学院将根据学校单项奖学金分配名额（不超过本院在校生人数3%）、学生成果申报、计分情况，由学院讨论决定获奖名单。</w:t>
      </w:r>
    </w:p>
    <w:p w14:paraId="431DBFF1">
      <w:pPr>
        <w:spacing w:line="560" w:lineRule="exact"/>
        <w:rPr>
          <w:rFonts w:hint="default" w:ascii="黑体" w:hAnsi="黑体" w:eastAsia="黑体" w:cs="仿宋"/>
          <w:b/>
          <w:bCs/>
          <w:color w:val="auto"/>
          <w:sz w:val="32"/>
          <w:szCs w:val="32"/>
          <w:lang w:val="en-US" w:eastAsia="zh-CN"/>
        </w:rPr>
      </w:pPr>
      <w:r>
        <w:rPr>
          <w:rFonts w:hint="eastAsia" w:ascii="黑体" w:hAnsi="黑体" w:eastAsia="黑体" w:cs="仿宋"/>
          <w:b/>
          <w:bCs/>
          <w:color w:val="auto"/>
          <w:sz w:val="32"/>
          <w:szCs w:val="32"/>
          <w:lang w:val="en-US" w:eastAsia="zh-CN"/>
        </w:rPr>
        <w:t xml:space="preserve">  </w:t>
      </w:r>
    </w:p>
    <w:p w14:paraId="2F344225">
      <w:pPr>
        <w:spacing w:line="560" w:lineRule="exact"/>
        <w:rPr>
          <w:rFonts w:hint="eastAsia" w:ascii="黑体" w:hAnsi="黑体" w:eastAsia="黑体" w:cs="仿宋"/>
          <w:b/>
          <w:bCs/>
          <w:color w:val="auto"/>
          <w:sz w:val="32"/>
          <w:szCs w:val="32"/>
        </w:rPr>
      </w:pPr>
      <w:r>
        <w:rPr>
          <w:rFonts w:hint="eastAsia" w:ascii="黑体" w:hAnsi="黑体" w:eastAsia="黑体" w:cs="仿宋"/>
          <w:b/>
          <w:bCs/>
          <w:color w:val="auto"/>
          <w:sz w:val="32"/>
          <w:szCs w:val="32"/>
        </w:rPr>
        <w:t>一、践行习近平新时代中国特色社会主义思想</w:t>
      </w:r>
    </w:p>
    <w:p w14:paraId="742A2ABF">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1.主题宣讲</w:t>
      </w:r>
    </w:p>
    <w:p w14:paraId="38DBFD3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践行习近平新时代中国特色社会主义思想，积极开展主题鲜明、联系实际的宣讲活动，宣讲次数3次及以上，覆盖学生不少于300人，并取得良好的宣传效果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以开展宣讲的宣传报道原件或网络媒体完整截图为支撑材料。按照宣讲的影响程度加分标准如下：</w:t>
      </w:r>
    </w:p>
    <w:tbl>
      <w:tblPr>
        <w:tblStyle w:val="4"/>
        <w:tblpPr w:leftFromText="180" w:rightFromText="180" w:vertAnchor="text" w:horzAnchor="page" w:tblpX="2415" w:tblpY="2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2"/>
        <w:gridCol w:w="4238"/>
      </w:tblGrid>
      <w:tr w14:paraId="0F5E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3562" w:type="dxa"/>
            <w:tcBorders>
              <w:top w:val="single" w:color="auto" w:sz="8" w:space="0"/>
            </w:tcBorders>
            <w:noWrap w:val="0"/>
            <w:vAlign w:val="center"/>
          </w:tcPr>
          <w:p w14:paraId="450132EE">
            <w:pPr>
              <w:spacing w:line="560" w:lineRule="exact"/>
              <w:ind w:firstLine="640" w:firstLineChars="200"/>
              <w:jc w:val="center"/>
              <w:rPr>
                <w:rFonts w:hint="eastAsia" w:ascii="仿宋" w:hAnsi="仿宋" w:eastAsia="仿宋" w:cs="仿宋"/>
                <w:color w:val="auto"/>
                <w:sz w:val="32"/>
                <w:szCs w:val="32"/>
              </w:rPr>
            </w:pPr>
            <w:bookmarkStart w:id="1" w:name="OLE_LINK2"/>
            <w:r>
              <w:rPr>
                <w:rFonts w:hint="eastAsia" w:ascii="仿宋" w:hAnsi="仿宋" w:eastAsia="仿宋" w:cs="仿宋"/>
                <w:color w:val="auto"/>
                <w:sz w:val="32"/>
                <w:szCs w:val="32"/>
              </w:rPr>
              <w:t>主题宣讲级别</w:t>
            </w:r>
          </w:p>
        </w:tc>
        <w:tc>
          <w:tcPr>
            <w:tcW w:w="4238" w:type="dxa"/>
            <w:tcBorders>
              <w:top w:val="single" w:color="auto" w:sz="8" w:space="0"/>
            </w:tcBorders>
            <w:noWrap w:val="0"/>
            <w:vAlign w:val="center"/>
          </w:tcPr>
          <w:p w14:paraId="70971854">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0FA55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14:paraId="11B68AC2">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238" w:type="dxa"/>
            <w:noWrap w:val="0"/>
            <w:vAlign w:val="center"/>
          </w:tcPr>
          <w:p w14:paraId="5A1B4F0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63A9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14:paraId="49B3CC70">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238" w:type="dxa"/>
            <w:noWrap w:val="0"/>
            <w:vAlign w:val="center"/>
          </w:tcPr>
          <w:p w14:paraId="49E42A6F">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4674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562" w:type="dxa"/>
            <w:noWrap w:val="0"/>
            <w:vAlign w:val="center"/>
          </w:tcPr>
          <w:p w14:paraId="45DBDFE6">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238" w:type="dxa"/>
            <w:noWrap w:val="0"/>
            <w:vAlign w:val="center"/>
          </w:tcPr>
          <w:p w14:paraId="4D9B1184">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2AD46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562" w:type="dxa"/>
            <w:tcBorders>
              <w:bottom w:val="single" w:color="auto" w:sz="8" w:space="0"/>
            </w:tcBorders>
            <w:noWrap w:val="0"/>
            <w:vAlign w:val="center"/>
          </w:tcPr>
          <w:p w14:paraId="71CAE53A">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238" w:type="dxa"/>
            <w:tcBorders>
              <w:bottom w:val="single" w:color="auto" w:sz="8" w:space="0"/>
            </w:tcBorders>
            <w:noWrap w:val="0"/>
            <w:vAlign w:val="center"/>
          </w:tcPr>
          <w:p w14:paraId="06670327">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bookmarkEnd w:id="1"/>
    </w:tbl>
    <w:p w14:paraId="2457D179">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 </w:t>
      </w:r>
    </w:p>
    <w:p w14:paraId="27575222">
      <w:pPr>
        <w:spacing w:line="560" w:lineRule="exact"/>
        <w:ind w:firstLine="643" w:firstLineChars="200"/>
        <w:rPr>
          <w:rFonts w:hint="eastAsia" w:ascii="仿宋" w:hAnsi="仿宋" w:eastAsia="仿宋" w:cs="仿宋"/>
          <w:b/>
          <w:bCs/>
          <w:color w:val="auto"/>
          <w:sz w:val="32"/>
          <w:szCs w:val="32"/>
        </w:rPr>
      </w:pPr>
    </w:p>
    <w:p w14:paraId="595DE0BA">
      <w:pPr>
        <w:spacing w:line="560" w:lineRule="exact"/>
        <w:ind w:firstLine="643" w:firstLineChars="200"/>
        <w:rPr>
          <w:rFonts w:hint="eastAsia" w:ascii="仿宋" w:hAnsi="仿宋" w:eastAsia="仿宋" w:cs="仿宋"/>
          <w:b/>
          <w:bCs/>
          <w:color w:val="auto"/>
          <w:sz w:val="32"/>
          <w:szCs w:val="32"/>
        </w:rPr>
      </w:pPr>
    </w:p>
    <w:p w14:paraId="4E922E7C">
      <w:pPr>
        <w:spacing w:line="560" w:lineRule="exact"/>
        <w:ind w:firstLine="643" w:firstLineChars="200"/>
        <w:rPr>
          <w:rFonts w:hint="eastAsia" w:ascii="仿宋" w:hAnsi="仿宋" w:eastAsia="仿宋" w:cs="仿宋"/>
          <w:b/>
          <w:bCs/>
          <w:color w:val="auto"/>
          <w:sz w:val="32"/>
          <w:szCs w:val="32"/>
        </w:rPr>
      </w:pPr>
    </w:p>
    <w:p w14:paraId="1CEF0DDC">
      <w:pPr>
        <w:spacing w:line="560" w:lineRule="exact"/>
        <w:ind w:firstLine="643" w:firstLineChars="200"/>
        <w:rPr>
          <w:rFonts w:hint="eastAsia" w:ascii="仿宋" w:hAnsi="仿宋" w:eastAsia="仿宋" w:cs="仿宋"/>
          <w:b/>
          <w:bCs/>
          <w:color w:val="auto"/>
          <w:sz w:val="32"/>
          <w:szCs w:val="32"/>
        </w:rPr>
      </w:pPr>
    </w:p>
    <w:p w14:paraId="116896F3">
      <w:pPr>
        <w:spacing w:line="560" w:lineRule="exact"/>
        <w:rPr>
          <w:rFonts w:hint="eastAsia" w:ascii="仿宋" w:hAnsi="仿宋" w:eastAsia="仿宋" w:cs="仿宋"/>
          <w:b/>
          <w:bCs/>
          <w:color w:val="auto"/>
          <w:sz w:val="32"/>
          <w:szCs w:val="32"/>
        </w:rPr>
      </w:pPr>
    </w:p>
    <w:p w14:paraId="4EEA4AC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注：同一项活动，按最高级别加分，不累计加分。</w:t>
      </w:r>
    </w:p>
    <w:p w14:paraId="60CAC1EC">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 xml:space="preserve"> 2.发表文章</w:t>
      </w:r>
    </w:p>
    <w:p w14:paraId="2E50146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研习习近平新时代中国特色社会主义思想，并在各大报刊、网络媒介以第一作者发表宣扬正能量的文章3篇及以上。按照报刊、网络媒介的影响力加分标准如下：</w:t>
      </w:r>
    </w:p>
    <w:tbl>
      <w:tblPr>
        <w:tblStyle w:val="4"/>
        <w:tblpPr w:leftFromText="180" w:rightFromText="180" w:vertAnchor="text" w:horzAnchor="page" w:tblpX="1997" w:tblpY="130"/>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2"/>
        <w:gridCol w:w="4488"/>
      </w:tblGrid>
      <w:tr w14:paraId="7864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528" w:type="pct"/>
            <w:tcBorders>
              <w:top w:val="single" w:color="auto" w:sz="8" w:space="0"/>
            </w:tcBorders>
            <w:noWrap w:val="0"/>
            <w:vAlign w:val="center"/>
          </w:tcPr>
          <w:p w14:paraId="773478B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报刊、网络媒介影响力</w:t>
            </w:r>
          </w:p>
        </w:tc>
        <w:tc>
          <w:tcPr>
            <w:tcW w:w="2471" w:type="pct"/>
            <w:tcBorders>
              <w:top w:val="single" w:color="auto" w:sz="8" w:space="0"/>
            </w:tcBorders>
            <w:noWrap w:val="0"/>
            <w:vAlign w:val="center"/>
          </w:tcPr>
          <w:p w14:paraId="7C42DA87">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1DCE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528" w:type="pct"/>
            <w:noWrap w:val="0"/>
            <w:vAlign w:val="center"/>
          </w:tcPr>
          <w:p w14:paraId="27589D7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2471" w:type="pct"/>
            <w:noWrap w:val="0"/>
            <w:vAlign w:val="center"/>
          </w:tcPr>
          <w:p w14:paraId="6AC94B34">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50</w:t>
            </w:r>
          </w:p>
        </w:tc>
      </w:tr>
      <w:tr w14:paraId="0D93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528" w:type="pct"/>
            <w:noWrap w:val="0"/>
            <w:vAlign w:val="center"/>
          </w:tcPr>
          <w:p w14:paraId="1B7765CC">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2471" w:type="pct"/>
            <w:noWrap w:val="0"/>
            <w:vAlign w:val="center"/>
          </w:tcPr>
          <w:p w14:paraId="208BBFD6">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2BB4A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528" w:type="pct"/>
            <w:noWrap w:val="0"/>
            <w:vAlign w:val="center"/>
          </w:tcPr>
          <w:p w14:paraId="00FA41B7">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2471" w:type="pct"/>
            <w:noWrap w:val="0"/>
            <w:vAlign w:val="center"/>
          </w:tcPr>
          <w:p w14:paraId="51E6620E">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1461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528" w:type="pct"/>
            <w:tcBorders>
              <w:bottom w:val="single" w:color="auto" w:sz="8" w:space="0"/>
            </w:tcBorders>
            <w:noWrap w:val="0"/>
            <w:vAlign w:val="center"/>
          </w:tcPr>
          <w:p w14:paraId="7E19B1AB">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2471" w:type="pct"/>
            <w:tcBorders>
              <w:bottom w:val="single" w:color="auto" w:sz="8" w:space="0"/>
            </w:tcBorders>
            <w:noWrap w:val="0"/>
            <w:vAlign w:val="center"/>
          </w:tcPr>
          <w:p w14:paraId="0F6B6FF6">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tbl>
    <w:p w14:paraId="37ED94C2">
      <w:pPr>
        <w:spacing w:line="560" w:lineRule="exact"/>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注：</w:t>
      </w:r>
      <w:r>
        <w:rPr>
          <w:rFonts w:hint="eastAsia" w:ascii="仿宋" w:hAnsi="仿宋" w:eastAsia="仿宋" w:cs="仿宋"/>
          <w:color w:val="auto"/>
          <w:sz w:val="32"/>
          <w:szCs w:val="32"/>
        </w:rPr>
        <w:t>同一项活动，按发表文章影响力最大的</w:t>
      </w:r>
      <w:r>
        <w:rPr>
          <w:rFonts w:hint="eastAsia" w:ascii="仿宋" w:hAnsi="仿宋" w:eastAsia="仿宋" w:cs="仿宋"/>
          <w:color w:val="auto"/>
          <w:sz w:val="32"/>
          <w:szCs w:val="32"/>
          <w:lang w:val="en-US" w:eastAsia="zh-CN"/>
        </w:rPr>
        <w:t>媒体</w:t>
      </w:r>
      <w:r>
        <w:rPr>
          <w:rFonts w:hint="eastAsia" w:ascii="仿宋" w:hAnsi="仿宋" w:eastAsia="仿宋" w:cs="仿宋"/>
          <w:color w:val="auto"/>
          <w:sz w:val="32"/>
          <w:szCs w:val="32"/>
        </w:rPr>
        <w:t>媒介加分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不累计加分。</w:t>
      </w:r>
      <w:r>
        <w:rPr>
          <w:rFonts w:hint="eastAsia" w:ascii="仿宋" w:hAnsi="仿宋" w:eastAsia="仿宋" w:cs="仿宋"/>
          <w:color w:val="auto"/>
          <w:sz w:val="32"/>
          <w:szCs w:val="32"/>
          <w:lang w:val="en-US" w:eastAsia="zh-CN"/>
        </w:rPr>
        <w:t>校级以上媒体作者单位必须是贵州大学，校级媒体必须注明第一培养单位。</w:t>
      </w:r>
    </w:p>
    <w:p w14:paraId="26C3BD73">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3.参加活动</w:t>
      </w:r>
    </w:p>
    <w:p w14:paraId="44677C1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与立足新时代，践行新思想活动，特别是参加学习习近平2011年5月9日在我校中国文化书院讲话的相关活动。在活动中承担相关任务，为学校及学院带来良好社会评价。参加同一活动负责相关任务并在活动中获得荣誉，按最高项加分，不累计加分（校级、院级活动必须</w:t>
      </w:r>
      <w:r>
        <w:rPr>
          <w:rFonts w:hint="eastAsia" w:ascii="仿宋" w:hAnsi="仿宋" w:eastAsia="仿宋" w:cs="仿宋"/>
          <w:color w:val="auto"/>
          <w:sz w:val="32"/>
          <w:szCs w:val="32"/>
          <w:lang w:val="en-US" w:eastAsia="zh-CN"/>
        </w:rPr>
        <w:t>要以推文形式</w:t>
      </w:r>
      <w:r>
        <w:rPr>
          <w:rFonts w:hint="eastAsia" w:ascii="仿宋" w:hAnsi="仿宋" w:eastAsia="仿宋" w:cs="仿宋"/>
          <w:color w:val="auto"/>
          <w:sz w:val="32"/>
          <w:szCs w:val="32"/>
        </w:rPr>
        <w:t>在</w:t>
      </w:r>
      <w:r>
        <w:rPr>
          <w:rFonts w:hint="eastAsia" w:ascii="仿宋" w:hAnsi="仿宋" w:eastAsia="仿宋" w:cs="仿宋"/>
          <w:color w:val="auto"/>
          <w:sz w:val="32"/>
          <w:szCs w:val="32"/>
          <w:lang w:val="en-US" w:eastAsia="zh-CN"/>
        </w:rPr>
        <w:t>院内媒体、</w:t>
      </w:r>
      <w:r>
        <w:rPr>
          <w:rFonts w:hint="eastAsia" w:ascii="仿宋" w:hAnsi="仿宋" w:eastAsia="仿宋" w:cs="仿宋"/>
          <w:color w:val="auto"/>
          <w:sz w:val="32"/>
          <w:szCs w:val="32"/>
        </w:rPr>
        <w:t>贵研新声或贵大官网上进行过新闻媒体宣传，</w:t>
      </w:r>
      <w:r>
        <w:rPr>
          <w:rFonts w:hint="eastAsia" w:ascii="仿宋" w:hAnsi="仿宋" w:eastAsia="仿宋" w:cs="仿宋"/>
          <w:color w:val="auto"/>
          <w:sz w:val="32"/>
          <w:szCs w:val="32"/>
          <w:lang w:val="en-US" w:eastAsia="zh-CN"/>
        </w:rPr>
        <w:t>若宣传平台高于举办方级别另加3分，</w:t>
      </w:r>
      <w:r>
        <w:rPr>
          <w:rFonts w:hint="eastAsia" w:ascii="仿宋" w:hAnsi="仿宋" w:eastAsia="仿宋" w:cs="仿宋"/>
          <w:color w:val="auto"/>
          <w:sz w:val="32"/>
          <w:szCs w:val="32"/>
        </w:rPr>
        <w:t>具有相关支撑材料）。根据参加活动的级别加分标准如下：</w:t>
      </w:r>
    </w:p>
    <w:p w14:paraId="5D1C5434">
      <w:pPr>
        <w:spacing w:line="560" w:lineRule="exact"/>
        <w:ind w:firstLine="640" w:firstLineChars="200"/>
        <w:rPr>
          <w:rFonts w:hint="eastAsia" w:ascii="仿宋" w:hAnsi="仿宋" w:eastAsia="仿宋" w:cs="仿宋"/>
          <w:color w:val="auto"/>
          <w:sz w:val="32"/>
          <w:szCs w:val="32"/>
        </w:rPr>
      </w:pPr>
    </w:p>
    <w:p w14:paraId="05AA3160">
      <w:pPr>
        <w:spacing w:line="560" w:lineRule="exact"/>
        <w:ind w:firstLine="640" w:firstLineChars="200"/>
        <w:rPr>
          <w:rFonts w:hint="eastAsia" w:ascii="仿宋" w:hAnsi="仿宋" w:eastAsia="仿宋" w:cs="仿宋"/>
          <w:color w:val="auto"/>
          <w:sz w:val="32"/>
          <w:szCs w:val="32"/>
        </w:rPr>
      </w:pPr>
    </w:p>
    <w:p w14:paraId="0EC67E02">
      <w:pPr>
        <w:spacing w:line="560" w:lineRule="exact"/>
        <w:ind w:firstLine="640" w:firstLineChars="200"/>
        <w:rPr>
          <w:rFonts w:hint="eastAsia" w:ascii="仿宋" w:hAnsi="仿宋" w:eastAsia="仿宋" w:cs="仿宋"/>
          <w:color w:val="auto"/>
          <w:sz w:val="32"/>
          <w:szCs w:val="32"/>
        </w:rPr>
      </w:pPr>
    </w:p>
    <w:tbl>
      <w:tblPr>
        <w:tblStyle w:val="4"/>
        <w:tblW w:w="0" w:type="auto"/>
        <w:jc w:val="center"/>
        <w:tblLayout w:type="fixed"/>
        <w:tblCellMar>
          <w:top w:w="0" w:type="dxa"/>
          <w:left w:w="0" w:type="dxa"/>
          <w:bottom w:w="0" w:type="dxa"/>
          <w:right w:w="0" w:type="dxa"/>
        </w:tblCellMar>
      </w:tblPr>
      <w:tblGrid>
        <w:gridCol w:w="1868"/>
        <w:gridCol w:w="1538"/>
        <w:gridCol w:w="1395"/>
        <w:gridCol w:w="1455"/>
        <w:gridCol w:w="1680"/>
      </w:tblGrid>
      <w:tr w14:paraId="05C6A6CD">
        <w:tblPrEx>
          <w:tblCellMar>
            <w:top w:w="0" w:type="dxa"/>
            <w:left w:w="0" w:type="dxa"/>
            <w:bottom w:w="0" w:type="dxa"/>
            <w:right w:w="0" w:type="dxa"/>
          </w:tblCellMar>
        </w:tblPrEx>
        <w:trPr>
          <w:trHeight w:val="575" w:hRule="atLeast"/>
          <w:jc w:val="center"/>
        </w:trPr>
        <w:tc>
          <w:tcPr>
            <w:tcW w:w="186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14:paraId="18CC40F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14:paraId="23CAD27E">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53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5B6939B">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39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A9E16EB">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5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3C6E064">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68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FAF8127">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14:paraId="32CBFE6B">
        <w:tblPrEx>
          <w:tblCellMar>
            <w:top w:w="0" w:type="dxa"/>
            <w:left w:w="0" w:type="dxa"/>
            <w:bottom w:w="0" w:type="dxa"/>
            <w:right w:w="0" w:type="dxa"/>
          </w:tblCellMar>
        </w:tblPrEx>
        <w:trPr>
          <w:trHeight w:val="351" w:hRule="atLeast"/>
          <w:jc w:val="center"/>
        </w:trPr>
        <w:tc>
          <w:tcPr>
            <w:tcW w:w="186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0E092D6">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53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2A5C85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39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DE1B0A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5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8793C8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68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EB146A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1A2769E8">
        <w:tblPrEx>
          <w:tblCellMar>
            <w:top w:w="0" w:type="dxa"/>
            <w:left w:w="0" w:type="dxa"/>
            <w:bottom w:w="0" w:type="dxa"/>
            <w:right w:w="0" w:type="dxa"/>
          </w:tblCellMar>
        </w:tblPrEx>
        <w:trPr>
          <w:trHeight w:val="36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7E7C0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822711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D4273F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F8D201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8FBD846">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14:paraId="40A3D80D">
        <w:tblPrEx>
          <w:tblCellMar>
            <w:top w:w="0" w:type="dxa"/>
            <w:left w:w="0" w:type="dxa"/>
            <w:bottom w:w="0" w:type="dxa"/>
            <w:right w:w="0" w:type="dxa"/>
          </w:tblCellMar>
        </w:tblPrEx>
        <w:trPr>
          <w:trHeight w:val="33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CF30C4F">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BF202B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560DBB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C2E2E4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3AFF0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14:paraId="3E41C7A7">
        <w:tblPrEx>
          <w:tblCellMar>
            <w:top w:w="0" w:type="dxa"/>
            <w:left w:w="0" w:type="dxa"/>
            <w:bottom w:w="0" w:type="dxa"/>
            <w:right w:w="0" w:type="dxa"/>
          </w:tblCellMar>
        </w:tblPrEx>
        <w:trPr>
          <w:trHeight w:val="337"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E326D40">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DC30D6A">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6057C39">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A81689B">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5</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FB1ED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14:paraId="0395141A">
      <w:pPr>
        <w:spacing w:line="560" w:lineRule="exact"/>
        <w:ind w:firstLine="640" w:firstLineChars="200"/>
        <w:rPr>
          <w:rFonts w:hint="default" w:ascii="仿宋" w:hAnsi="仿宋" w:eastAsia="仿宋" w:cs="仿宋"/>
          <w:color w:val="FF0000"/>
          <w:sz w:val="32"/>
          <w:szCs w:val="32"/>
          <w:lang w:val="en-US" w:eastAsia="zh-CN"/>
        </w:rPr>
      </w:pPr>
      <w:r>
        <w:rPr>
          <w:rFonts w:hint="eastAsia" w:ascii="仿宋" w:hAnsi="仿宋" w:eastAsia="仿宋" w:cs="仿宋"/>
          <w:color w:val="auto"/>
          <w:sz w:val="32"/>
          <w:szCs w:val="32"/>
        </w:rPr>
        <w:t>注：同一项活动，按最高项加分，不累计加分。</w:t>
      </w:r>
      <w:r>
        <w:rPr>
          <w:rFonts w:hint="eastAsia" w:ascii="仿宋" w:hAnsi="仿宋" w:eastAsia="仿宋" w:cs="仿宋"/>
          <w:color w:val="auto"/>
          <w:sz w:val="32"/>
          <w:szCs w:val="32"/>
          <w:lang w:val="en-US" w:eastAsia="zh-CN"/>
        </w:rPr>
        <w:t>活动</w:t>
      </w:r>
      <w:r>
        <w:rPr>
          <w:rFonts w:hint="eastAsia" w:ascii="仿宋" w:hAnsi="仿宋" w:eastAsia="仿宋" w:cs="仿宋"/>
          <w:color w:val="FF0000"/>
          <w:sz w:val="32"/>
          <w:szCs w:val="32"/>
          <w:lang w:val="en-US" w:eastAsia="zh-CN"/>
        </w:rPr>
        <w:t>组织者对应分值*1.2.</w:t>
      </w:r>
    </w:p>
    <w:p w14:paraId="7892FAD6">
      <w:pPr>
        <w:spacing w:line="560" w:lineRule="exact"/>
        <w:ind w:firstLine="640" w:firstLineChars="200"/>
        <w:rPr>
          <w:rFonts w:hint="eastAsia" w:ascii="仿宋" w:hAnsi="仿宋" w:eastAsia="仿宋" w:cs="仿宋"/>
          <w:color w:val="auto"/>
          <w:sz w:val="32"/>
          <w:szCs w:val="32"/>
        </w:rPr>
      </w:pPr>
    </w:p>
    <w:p w14:paraId="7748E72F">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4.突出事迹</w:t>
      </w:r>
    </w:p>
    <w:p w14:paraId="1266AAB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模范遵守公民基本道德规范，在助人为乐、见义勇为、诚实守信、孝老爱亲等方面有突出事迹，在研究生群体中有较高认可度的。突出事迹的支撑材料为报道材料、奖励证书证明等。按突出事件社会影响力加分标准如下：</w:t>
      </w:r>
    </w:p>
    <w:tbl>
      <w:tblPr>
        <w:tblStyle w:val="4"/>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85"/>
      </w:tblGrid>
      <w:tr w14:paraId="6DF71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14:paraId="47439FE2">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突出事迹影响力</w:t>
            </w:r>
          </w:p>
        </w:tc>
        <w:tc>
          <w:tcPr>
            <w:tcW w:w="4485" w:type="dxa"/>
            <w:tcBorders>
              <w:top w:val="single" w:color="auto" w:sz="8" w:space="0"/>
            </w:tcBorders>
            <w:shd w:val="clear" w:color="auto" w:fill="auto"/>
            <w:noWrap w:val="0"/>
            <w:vAlign w:val="center"/>
          </w:tcPr>
          <w:p w14:paraId="4035988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3B62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69606093">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485" w:type="dxa"/>
            <w:shd w:val="clear" w:color="auto" w:fill="auto"/>
            <w:noWrap w:val="0"/>
            <w:vAlign w:val="center"/>
          </w:tcPr>
          <w:p w14:paraId="62AAA1DA">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2F4D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4B9966E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485" w:type="dxa"/>
            <w:shd w:val="clear" w:color="auto" w:fill="auto"/>
            <w:noWrap w:val="0"/>
            <w:vAlign w:val="center"/>
          </w:tcPr>
          <w:p w14:paraId="49193D9C">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792F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535F6F90">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485" w:type="dxa"/>
            <w:shd w:val="clear" w:color="auto" w:fill="auto"/>
            <w:noWrap w:val="0"/>
            <w:vAlign w:val="center"/>
          </w:tcPr>
          <w:p w14:paraId="0DC491C7">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0E70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0CD87B2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485" w:type="dxa"/>
            <w:shd w:val="clear" w:color="auto" w:fill="auto"/>
            <w:noWrap w:val="0"/>
            <w:vAlign w:val="center"/>
          </w:tcPr>
          <w:p w14:paraId="7E51CB49">
            <w:pPr>
              <w:spacing w:line="560" w:lineRule="exact"/>
              <w:ind w:firstLine="640" w:firstLineChars="200"/>
              <w:jc w:val="center"/>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5</w:t>
            </w:r>
          </w:p>
        </w:tc>
      </w:tr>
    </w:tbl>
    <w:p w14:paraId="54DF5FC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注：同一项活动，按最高项加分，不累计加分。</w:t>
      </w:r>
    </w:p>
    <w:p w14:paraId="7A53F5C0">
      <w:pPr>
        <w:spacing w:line="560" w:lineRule="exact"/>
        <w:rPr>
          <w:rFonts w:hint="eastAsia" w:ascii="黑体" w:hAnsi="黑体" w:eastAsia="黑体" w:cs="仿宋"/>
          <w:b/>
          <w:bCs/>
          <w:color w:val="auto"/>
          <w:sz w:val="32"/>
          <w:szCs w:val="32"/>
        </w:rPr>
      </w:pPr>
    </w:p>
    <w:p w14:paraId="32BD209F">
      <w:pPr>
        <w:spacing w:line="560" w:lineRule="exact"/>
        <w:ind w:firstLine="643" w:firstLineChars="200"/>
        <w:rPr>
          <w:rFonts w:hint="eastAsia" w:ascii="黑体" w:hAnsi="黑体" w:eastAsia="黑体" w:cs="仿宋"/>
          <w:b/>
          <w:bCs/>
          <w:color w:val="FF0000"/>
          <w:sz w:val="32"/>
          <w:szCs w:val="32"/>
        </w:rPr>
      </w:pPr>
      <w:r>
        <w:rPr>
          <w:rFonts w:hint="eastAsia" w:ascii="黑体" w:hAnsi="黑体" w:eastAsia="黑体" w:cs="仿宋"/>
          <w:b/>
          <w:bCs/>
          <w:color w:val="FF0000"/>
          <w:sz w:val="32"/>
          <w:szCs w:val="32"/>
          <w:lang w:val="en-US" w:eastAsia="zh-CN"/>
        </w:rPr>
        <w:t>5.本单项奖学金参评分数须在50分以上。</w:t>
      </w:r>
    </w:p>
    <w:p w14:paraId="3AA82BC8">
      <w:pPr>
        <w:spacing w:line="560" w:lineRule="exact"/>
        <w:ind w:firstLine="643" w:firstLineChars="200"/>
        <w:rPr>
          <w:rFonts w:hint="default" w:ascii="黑体" w:hAnsi="黑体" w:eastAsia="黑体" w:cs="仿宋"/>
          <w:b/>
          <w:bCs/>
          <w:color w:val="auto"/>
          <w:sz w:val="32"/>
          <w:szCs w:val="32"/>
          <w:lang w:val="en-US" w:eastAsia="zh-CN"/>
        </w:rPr>
      </w:pPr>
    </w:p>
    <w:p w14:paraId="3D982E57">
      <w:pPr>
        <w:spacing w:line="560" w:lineRule="exact"/>
        <w:ind w:firstLine="643" w:firstLineChars="200"/>
        <w:rPr>
          <w:rFonts w:hint="eastAsia" w:ascii="黑体" w:hAnsi="黑体" w:eastAsia="黑体" w:cs="仿宋"/>
          <w:b/>
          <w:bCs/>
          <w:color w:val="auto"/>
          <w:sz w:val="32"/>
          <w:szCs w:val="32"/>
        </w:rPr>
      </w:pPr>
    </w:p>
    <w:p w14:paraId="6885B196">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二、服务贵州地方经济社会发展</w:t>
      </w:r>
    </w:p>
    <w:p w14:paraId="4600094E">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1.组织参与博士工程师”“博士村长”项目</w:t>
      </w:r>
    </w:p>
    <w:p w14:paraId="2682B15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FF0000"/>
          <w:sz w:val="32"/>
          <w:szCs w:val="32"/>
        </w:rPr>
        <w:t>积极参与“博士工程师”“博士村长”项目，</w:t>
      </w:r>
      <w:r>
        <w:rPr>
          <w:rFonts w:hint="eastAsia" w:ascii="仿宋" w:hAnsi="仿宋" w:eastAsia="仿宋" w:cs="仿宋"/>
          <w:color w:val="FF0000"/>
          <w:sz w:val="32"/>
          <w:szCs w:val="32"/>
          <w:lang w:val="en-US" w:eastAsia="zh-CN"/>
        </w:rPr>
        <w:t>并以培养单位为第一署名单位进行院级及以上立项，</w:t>
      </w:r>
      <w:r>
        <w:rPr>
          <w:rFonts w:hint="eastAsia" w:ascii="仿宋" w:hAnsi="仿宋" w:eastAsia="仿宋" w:cs="仿宋"/>
          <w:color w:val="FF0000"/>
          <w:sz w:val="32"/>
          <w:szCs w:val="32"/>
        </w:rPr>
        <w:t>组织实践队深入各地开展在产业扶贫、科技服务、人才支持等方面积极行动2次及以上，获得</w:t>
      </w:r>
      <w:r>
        <w:rPr>
          <w:rFonts w:hint="eastAsia" w:ascii="仿宋" w:hAnsi="仿宋" w:eastAsia="仿宋" w:cs="仿宋"/>
          <w:color w:val="FF0000"/>
          <w:sz w:val="32"/>
          <w:szCs w:val="32"/>
          <w:lang w:val="en-US" w:eastAsia="zh-CN"/>
        </w:rPr>
        <w:t>2</w:t>
      </w:r>
      <w:r>
        <w:rPr>
          <w:rFonts w:hint="eastAsia" w:ascii="仿宋" w:hAnsi="仿宋" w:eastAsia="仿宋" w:cs="仿宋"/>
          <w:color w:val="FF0000"/>
          <w:sz w:val="32"/>
          <w:szCs w:val="32"/>
        </w:rPr>
        <w:t>次及以上各类奖项</w:t>
      </w:r>
      <w:r>
        <w:rPr>
          <w:rFonts w:hint="eastAsia" w:ascii="仿宋" w:hAnsi="仿宋" w:eastAsia="仿宋" w:cs="仿宋"/>
          <w:color w:val="FF0000"/>
          <w:sz w:val="32"/>
          <w:szCs w:val="32"/>
          <w:lang w:val="en-US" w:eastAsia="zh-CN"/>
        </w:rPr>
        <w:t>和</w:t>
      </w:r>
      <w:r>
        <w:rPr>
          <w:rFonts w:hint="eastAsia" w:ascii="仿宋" w:hAnsi="仿宋" w:eastAsia="仿宋" w:cs="仿宋"/>
          <w:color w:val="FF0000"/>
          <w:sz w:val="32"/>
          <w:szCs w:val="32"/>
        </w:rPr>
        <w:t>相关媒体报道。</w:t>
      </w:r>
      <w:r>
        <w:rPr>
          <w:rFonts w:hint="eastAsia" w:ascii="仿宋" w:hAnsi="仿宋" w:eastAsia="仿宋" w:cs="仿宋"/>
          <w:color w:val="auto"/>
          <w:sz w:val="32"/>
          <w:szCs w:val="32"/>
        </w:rPr>
        <w:t>按照志愿服务的影响力加分标准如下：</w:t>
      </w:r>
    </w:p>
    <w:tbl>
      <w:tblPr>
        <w:tblStyle w:val="4"/>
        <w:tblW w:w="0" w:type="auto"/>
        <w:jc w:val="center"/>
        <w:tblLayout w:type="fixed"/>
        <w:tblCellMar>
          <w:top w:w="0" w:type="dxa"/>
          <w:left w:w="0" w:type="dxa"/>
          <w:bottom w:w="0" w:type="dxa"/>
          <w:right w:w="0" w:type="dxa"/>
        </w:tblCellMar>
      </w:tblPr>
      <w:tblGrid>
        <w:gridCol w:w="1868"/>
        <w:gridCol w:w="1538"/>
        <w:gridCol w:w="1395"/>
        <w:gridCol w:w="1455"/>
        <w:gridCol w:w="1680"/>
      </w:tblGrid>
      <w:tr w14:paraId="65189D09">
        <w:tblPrEx>
          <w:tblCellMar>
            <w:top w:w="0" w:type="dxa"/>
            <w:left w:w="0" w:type="dxa"/>
            <w:bottom w:w="0" w:type="dxa"/>
            <w:right w:w="0" w:type="dxa"/>
          </w:tblCellMar>
        </w:tblPrEx>
        <w:trPr>
          <w:trHeight w:val="575" w:hRule="atLeast"/>
          <w:jc w:val="center"/>
        </w:trPr>
        <w:tc>
          <w:tcPr>
            <w:tcW w:w="186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14:paraId="1CDDFF4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14:paraId="4D0FEEBA">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53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0A54872">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39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4B56AD4">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5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F110EE5">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68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D05FDBE">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14:paraId="390A23D0">
        <w:tblPrEx>
          <w:tblCellMar>
            <w:top w:w="0" w:type="dxa"/>
            <w:left w:w="0" w:type="dxa"/>
            <w:bottom w:w="0" w:type="dxa"/>
            <w:right w:w="0" w:type="dxa"/>
          </w:tblCellMar>
        </w:tblPrEx>
        <w:trPr>
          <w:trHeight w:val="351" w:hRule="atLeast"/>
          <w:jc w:val="center"/>
        </w:trPr>
        <w:tc>
          <w:tcPr>
            <w:tcW w:w="186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441DA8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53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6A67DB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39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96AC61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5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02CE07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68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9E3915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3EAC8581">
        <w:tblPrEx>
          <w:tblCellMar>
            <w:top w:w="0" w:type="dxa"/>
            <w:left w:w="0" w:type="dxa"/>
            <w:bottom w:w="0" w:type="dxa"/>
            <w:right w:w="0" w:type="dxa"/>
          </w:tblCellMar>
        </w:tblPrEx>
        <w:trPr>
          <w:trHeight w:val="36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0AB4927">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76D8E6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C0D6A0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37006A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EB7C82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14:paraId="0790A06B">
        <w:tblPrEx>
          <w:tblCellMar>
            <w:top w:w="0" w:type="dxa"/>
            <w:left w:w="0" w:type="dxa"/>
            <w:bottom w:w="0" w:type="dxa"/>
            <w:right w:w="0" w:type="dxa"/>
          </w:tblCellMar>
        </w:tblPrEx>
        <w:trPr>
          <w:trHeight w:val="33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863483">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016A4D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440363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D2C22E6">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DD33CE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14:paraId="061F8CC5">
        <w:tblPrEx>
          <w:tblCellMar>
            <w:top w:w="0" w:type="dxa"/>
            <w:left w:w="0" w:type="dxa"/>
            <w:bottom w:w="0" w:type="dxa"/>
            <w:right w:w="0" w:type="dxa"/>
          </w:tblCellMar>
        </w:tblPrEx>
        <w:trPr>
          <w:trHeight w:val="337"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EB2456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88F3C2B">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8AC4690">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61BAE40">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5</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6082DF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14:paraId="0AF55BEF">
      <w:pPr>
        <w:spacing w:line="560" w:lineRule="exact"/>
        <w:ind w:firstLine="640" w:firstLineChars="200"/>
        <w:rPr>
          <w:rFonts w:hint="eastAsia" w:ascii="仿宋" w:hAnsi="仿宋" w:eastAsia="仿宋" w:cs="仿宋"/>
          <w:color w:val="auto"/>
          <w:sz w:val="32"/>
          <w:szCs w:val="32"/>
        </w:rPr>
      </w:pPr>
    </w:p>
    <w:tbl>
      <w:tblPr>
        <w:tblStyle w:val="4"/>
        <w:tblW w:w="36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3"/>
        <w:gridCol w:w="3595"/>
      </w:tblGrid>
      <w:tr w14:paraId="6BF8D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6" w:type="pct"/>
            <w:tcBorders>
              <w:top w:val="single" w:color="auto" w:sz="8" w:space="0"/>
            </w:tcBorders>
            <w:shd w:val="clear" w:color="auto" w:fill="auto"/>
            <w:noWrap w:val="0"/>
            <w:vAlign w:val="center"/>
          </w:tcPr>
          <w:p w14:paraId="416A421F">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基本</w:t>
            </w:r>
          </w:p>
        </w:tc>
        <w:tc>
          <w:tcPr>
            <w:tcW w:w="2703" w:type="pct"/>
            <w:shd w:val="clear" w:color="auto" w:fill="auto"/>
            <w:noWrap w:val="0"/>
            <w:vAlign w:val="center"/>
          </w:tcPr>
          <w:p w14:paraId="446FD73D">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报道</w:t>
            </w:r>
            <w:r>
              <w:rPr>
                <w:rFonts w:hint="eastAsia" w:ascii="仿宋" w:hAnsi="仿宋" w:eastAsia="仿宋" w:cs="仿宋"/>
                <w:color w:val="auto"/>
                <w:sz w:val="32"/>
                <w:szCs w:val="32"/>
              </w:rPr>
              <w:t>分值</w:t>
            </w:r>
          </w:p>
        </w:tc>
      </w:tr>
      <w:tr w14:paraId="261E8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296" w:type="pct"/>
            <w:shd w:val="clear" w:color="auto" w:fill="auto"/>
            <w:noWrap w:val="0"/>
            <w:vAlign w:val="center"/>
          </w:tcPr>
          <w:p w14:paraId="67C301DD">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2703" w:type="pct"/>
            <w:shd w:val="clear" w:color="auto" w:fill="auto"/>
            <w:noWrap w:val="0"/>
            <w:vAlign w:val="center"/>
          </w:tcPr>
          <w:p w14:paraId="1E55EA44">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50</w:t>
            </w:r>
          </w:p>
        </w:tc>
      </w:tr>
      <w:tr w14:paraId="4EFB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6" w:type="pct"/>
            <w:shd w:val="clear" w:color="auto" w:fill="auto"/>
            <w:noWrap w:val="0"/>
            <w:vAlign w:val="center"/>
          </w:tcPr>
          <w:p w14:paraId="4155D4D9">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省级</w:t>
            </w:r>
          </w:p>
        </w:tc>
        <w:tc>
          <w:tcPr>
            <w:tcW w:w="2703" w:type="pct"/>
            <w:shd w:val="clear" w:color="auto" w:fill="auto"/>
            <w:noWrap w:val="0"/>
            <w:vAlign w:val="center"/>
          </w:tcPr>
          <w:p w14:paraId="2C5BC911">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01085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296" w:type="pct"/>
            <w:shd w:val="clear" w:color="auto" w:fill="auto"/>
            <w:noWrap w:val="0"/>
            <w:vAlign w:val="center"/>
          </w:tcPr>
          <w:p w14:paraId="0B0D145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2703" w:type="pct"/>
            <w:shd w:val="clear" w:color="auto" w:fill="auto"/>
            <w:noWrap w:val="0"/>
            <w:vAlign w:val="center"/>
          </w:tcPr>
          <w:p w14:paraId="68A12FF2">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tr w14:paraId="5249C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6" w:type="pct"/>
            <w:shd w:val="clear" w:color="auto" w:fill="auto"/>
            <w:noWrap w:val="0"/>
            <w:vAlign w:val="center"/>
          </w:tcPr>
          <w:p w14:paraId="55716748">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2703" w:type="pct"/>
            <w:shd w:val="clear" w:color="auto" w:fill="auto"/>
            <w:noWrap w:val="0"/>
            <w:vAlign w:val="center"/>
          </w:tcPr>
          <w:p w14:paraId="3FAD5730">
            <w:pPr>
              <w:spacing w:line="560" w:lineRule="exact"/>
              <w:jc w:val="center"/>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5</w:t>
            </w:r>
          </w:p>
        </w:tc>
      </w:tr>
    </w:tbl>
    <w:p w14:paraId="55CC9BCD">
      <w:pPr>
        <w:spacing w:line="560" w:lineRule="exact"/>
        <w:ind w:firstLine="640" w:firstLineChars="200"/>
        <w:rPr>
          <w:rFonts w:hint="default" w:ascii="仿宋" w:hAnsi="仿宋" w:eastAsia="仿宋" w:cs="仿宋"/>
          <w:color w:val="FF0000"/>
          <w:sz w:val="32"/>
          <w:szCs w:val="32"/>
          <w:lang w:val="en-US" w:eastAsia="zh-CN"/>
        </w:rPr>
      </w:pPr>
      <w:r>
        <w:rPr>
          <w:rFonts w:hint="eastAsia" w:ascii="仿宋" w:hAnsi="仿宋" w:eastAsia="仿宋" w:cs="仿宋"/>
          <w:color w:val="FF0000"/>
          <w:sz w:val="32"/>
          <w:szCs w:val="32"/>
        </w:rPr>
        <w:t>注：同一项活动，按志愿服务影响力最大的加分，不累计加分。</w:t>
      </w:r>
      <w:r>
        <w:rPr>
          <w:rFonts w:hint="eastAsia" w:ascii="仿宋" w:hAnsi="仿宋" w:eastAsia="仿宋" w:cs="仿宋"/>
          <w:color w:val="FF0000"/>
          <w:sz w:val="32"/>
          <w:szCs w:val="32"/>
          <w:lang w:val="en-US" w:eastAsia="zh-CN"/>
        </w:rPr>
        <w:t>组织者对应分值*1，参与者对应分值*0.4.</w:t>
      </w:r>
    </w:p>
    <w:p w14:paraId="6E6C6FA1">
      <w:pPr>
        <w:spacing w:line="560" w:lineRule="exact"/>
        <w:ind w:firstLine="640" w:firstLineChars="200"/>
        <w:rPr>
          <w:rFonts w:hint="default" w:ascii="仿宋" w:hAnsi="仿宋" w:eastAsia="仿宋" w:cs="仿宋"/>
          <w:color w:val="auto"/>
          <w:sz w:val="32"/>
          <w:szCs w:val="32"/>
          <w:lang w:val="en-US" w:eastAsia="zh-CN"/>
        </w:rPr>
      </w:pPr>
    </w:p>
    <w:p w14:paraId="6747B12E">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2.地方贡献</w:t>
      </w:r>
    </w:p>
    <w:p w14:paraId="6FB684B4">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利用所学的专业知识在服务我省围绕“四新”主攻“四化”主战略中作出突出贡献，其成果实施、技术应用或提出的具体发展措施得到当地政府采纳，对地方经济建设和社会发展推动作用明显，取得特别突出的经济效益或社会效益。</w:t>
      </w:r>
    </w:p>
    <w:p w14:paraId="7EB10F97">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地方贡献=基层技术服务分值+技术成果推广分值+技术改进分值</w:t>
      </w:r>
    </w:p>
    <w:p w14:paraId="38BE34E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地方贡献按照</w:t>
      </w:r>
      <w:r>
        <w:rPr>
          <w:rFonts w:hint="eastAsia" w:ascii="仿宋" w:hAnsi="仿宋" w:eastAsia="仿宋" w:cs="仿宋"/>
          <w:color w:val="auto"/>
          <w:sz w:val="32"/>
          <w:szCs w:val="32"/>
          <w:lang w:val="en-US" w:eastAsia="zh-CN"/>
        </w:rPr>
        <w:t>从</w:t>
      </w:r>
      <w:r>
        <w:rPr>
          <w:rFonts w:hint="eastAsia" w:ascii="仿宋" w:hAnsi="仿宋" w:eastAsia="仿宋" w:cs="仿宋"/>
          <w:color w:val="auto"/>
          <w:sz w:val="32"/>
          <w:szCs w:val="32"/>
        </w:rPr>
        <w:t>基层技术服务、技术成果推广及技术改进三个</w:t>
      </w:r>
      <w:r>
        <w:rPr>
          <w:rFonts w:hint="eastAsia" w:ascii="仿宋" w:hAnsi="仿宋" w:eastAsia="仿宋" w:cs="仿宋"/>
          <w:color w:val="auto"/>
          <w:sz w:val="32"/>
          <w:szCs w:val="32"/>
          <w:lang w:val="en-US" w:eastAsia="zh-CN"/>
        </w:rPr>
        <w:t>方面</w:t>
      </w:r>
      <w:r>
        <w:rPr>
          <w:rFonts w:hint="eastAsia" w:ascii="仿宋" w:hAnsi="仿宋" w:eastAsia="仿宋" w:cs="仿宋"/>
          <w:color w:val="auto"/>
          <w:sz w:val="32"/>
          <w:szCs w:val="32"/>
        </w:rPr>
        <w:t>进行</w:t>
      </w:r>
      <w:r>
        <w:rPr>
          <w:rFonts w:hint="eastAsia" w:ascii="仿宋" w:hAnsi="仿宋" w:eastAsia="仿宋" w:cs="仿宋"/>
          <w:color w:val="auto"/>
          <w:sz w:val="32"/>
          <w:szCs w:val="32"/>
          <w:lang w:val="en-US" w:eastAsia="zh-CN"/>
        </w:rPr>
        <w:t>评价</w:t>
      </w:r>
      <w:r>
        <w:rPr>
          <w:rFonts w:hint="eastAsia" w:ascii="仿宋" w:hAnsi="仿宋" w:eastAsia="仿宋" w:cs="仿宋"/>
          <w:color w:val="auto"/>
          <w:sz w:val="32"/>
          <w:szCs w:val="32"/>
        </w:rPr>
        <w:t>，评价标准应结合实际各个部分所产生的实际效益。申请者需提供相关证明材料，技术改进应提供相应公司的证明，基层技术服务和技术成果推广应提供当地政府或学校证明。地方贡献各部分的分值见如下：</w:t>
      </w:r>
    </w:p>
    <w:tbl>
      <w:tblPr>
        <w:tblStyle w:val="4"/>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4454"/>
      </w:tblGrid>
      <w:tr w14:paraId="64490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tcBorders>
              <w:top w:val="single" w:color="auto" w:sz="8" w:space="0"/>
            </w:tcBorders>
            <w:shd w:val="clear" w:color="auto" w:fill="auto"/>
            <w:noWrap w:val="0"/>
            <w:vAlign w:val="center"/>
          </w:tcPr>
          <w:p w14:paraId="06B7DBA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参评部分</w:t>
            </w:r>
          </w:p>
        </w:tc>
        <w:tc>
          <w:tcPr>
            <w:tcW w:w="4454" w:type="dxa"/>
            <w:tcBorders>
              <w:top w:val="single" w:color="auto" w:sz="8" w:space="0"/>
            </w:tcBorders>
            <w:shd w:val="clear" w:color="auto" w:fill="auto"/>
            <w:noWrap w:val="0"/>
            <w:vAlign w:val="center"/>
          </w:tcPr>
          <w:p w14:paraId="59746D0D">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53F1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3FC0498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基层技术服务</w:t>
            </w:r>
          </w:p>
        </w:tc>
        <w:tc>
          <w:tcPr>
            <w:tcW w:w="4454" w:type="dxa"/>
            <w:shd w:val="clear" w:color="auto" w:fill="auto"/>
            <w:noWrap w:val="0"/>
            <w:vAlign w:val="center"/>
          </w:tcPr>
          <w:p w14:paraId="4510A1B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14766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5476DD5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技术成果推广</w:t>
            </w:r>
          </w:p>
        </w:tc>
        <w:tc>
          <w:tcPr>
            <w:tcW w:w="4454" w:type="dxa"/>
            <w:shd w:val="clear" w:color="auto" w:fill="auto"/>
            <w:noWrap w:val="0"/>
            <w:vAlign w:val="center"/>
          </w:tcPr>
          <w:p w14:paraId="11ECC5B4">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4F5E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602346C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技术改进</w:t>
            </w:r>
          </w:p>
        </w:tc>
        <w:tc>
          <w:tcPr>
            <w:tcW w:w="4454" w:type="dxa"/>
            <w:shd w:val="clear" w:color="auto" w:fill="auto"/>
            <w:noWrap w:val="0"/>
            <w:vAlign w:val="center"/>
          </w:tcPr>
          <w:p w14:paraId="76266C63">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bl>
    <w:p w14:paraId="4A678955">
      <w:pPr>
        <w:spacing w:line="560" w:lineRule="exact"/>
        <w:ind w:firstLine="643" w:firstLineChars="200"/>
        <w:rPr>
          <w:rFonts w:hint="eastAsia" w:ascii="黑体" w:hAnsi="黑体" w:eastAsia="黑体" w:cs="仿宋"/>
          <w:b/>
          <w:bCs/>
          <w:color w:val="FF0000"/>
          <w:sz w:val="32"/>
          <w:szCs w:val="32"/>
          <w:lang w:val="en-US" w:eastAsia="zh-CN"/>
        </w:rPr>
      </w:pPr>
    </w:p>
    <w:p w14:paraId="55E78AAC">
      <w:pPr>
        <w:spacing w:line="560" w:lineRule="exact"/>
        <w:ind w:firstLine="643" w:firstLineChars="200"/>
        <w:rPr>
          <w:rFonts w:hint="eastAsia" w:ascii="黑体" w:hAnsi="黑体" w:eastAsia="黑体" w:cs="仿宋"/>
          <w:b/>
          <w:bCs/>
          <w:color w:val="FF0000"/>
          <w:sz w:val="32"/>
          <w:szCs w:val="32"/>
        </w:rPr>
      </w:pPr>
      <w:r>
        <w:rPr>
          <w:rFonts w:hint="eastAsia" w:ascii="黑体" w:hAnsi="黑体" w:eastAsia="黑体" w:cs="仿宋"/>
          <w:b/>
          <w:bCs/>
          <w:color w:val="FF0000"/>
          <w:sz w:val="32"/>
          <w:szCs w:val="32"/>
          <w:lang w:val="en-US" w:eastAsia="zh-CN"/>
        </w:rPr>
        <w:t>3.本单项奖学金参评分数须在50分以上。</w:t>
      </w:r>
    </w:p>
    <w:p w14:paraId="280F5300">
      <w:pPr>
        <w:spacing w:line="560" w:lineRule="exact"/>
        <w:ind w:firstLine="643" w:firstLineChars="200"/>
        <w:rPr>
          <w:rFonts w:hint="eastAsia" w:ascii="黑体" w:hAnsi="黑体" w:eastAsia="黑体" w:cs="仿宋"/>
          <w:b/>
          <w:bCs/>
          <w:color w:val="auto"/>
          <w:sz w:val="32"/>
          <w:szCs w:val="32"/>
        </w:rPr>
      </w:pPr>
    </w:p>
    <w:p w14:paraId="71FD5556">
      <w:pPr>
        <w:spacing w:line="560" w:lineRule="exact"/>
        <w:ind w:firstLine="643" w:firstLineChars="200"/>
        <w:rPr>
          <w:rFonts w:hint="default" w:ascii="黑体" w:hAnsi="黑体" w:eastAsia="黑体" w:cs="仿宋"/>
          <w:b/>
          <w:bCs/>
          <w:color w:val="auto"/>
          <w:sz w:val="32"/>
          <w:szCs w:val="32"/>
          <w:lang w:val="en-US" w:eastAsia="zh-CN"/>
        </w:rPr>
      </w:pPr>
      <w:r>
        <w:rPr>
          <w:rFonts w:hint="eastAsia" w:ascii="黑体" w:hAnsi="黑体" w:eastAsia="黑体" w:cs="仿宋"/>
          <w:b/>
          <w:bCs/>
          <w:color w:val="auto"/>
          <w:sz w:val="32"/>
          <w:szCs w:val="32"/>
        </w:rPr>
        <w:t>三、</w:t>
      </w:r>
      <w:r>
        <w:rPr>
          <w:rFonts w:hint="eastAsia" w:ascii="黑体" w:hAnsi="黑体" w:eastAsia="黑体" w:cs="仿宋"/>
          <w:b/>
          <w:bCs/>
          <w:color w:val="auto"/>
          <w:sz w:val="32"/>
          <w:szCs w:val="32"/>
          <w:lang w:val="en-US" w:eastAsia="zh-CN"/>
        </w:rPr>
        <w:t>创新创业</w:t>
      </w:r>
    </w:p>
    <w:p w14:paraId="62366FF5">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创业分值 = 实际效益分值 + 提供就业岗位数分值 + 注册资本分值</w:t>
      </w:r>
    </w:p>
    <w:p w14:paraId="2B01A52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学生具有创新创业精神与较强的市场开拓能力和经营管理水平。学生作为法定代表人的创业项目在众创空间内运行良好；创业项目符合国家产业、技术政策，技术含量高，创新性强；能够将所学知识转化为生产力，除导师外学生作为第一负责人的研究生项目产生的专利及其成果转化、授权金额在100万元以上；通过创业带动就业，提供就业岗位50个及以上；产品或服务有较大的市场容量和较强的市场竞争力，有较好的经济效益和社会效益，企业年营业额100万元以上。</w:t>
      </w:r>
    </w:p>
    <w:p w14:paraId="545A186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创业部分按照创业公司的实际效益、提供就业岗位数和注册资本三个部分进行参评，各参评部分各占比重分别为40%、40%和20%。计算方式为以参加申请对象中的最大值缩放到100进行百分比计算。如有3个申请对象，其注册资本分别为A:20万、B:15万和C:10万，则计算方法为：</w:t>
      </w:r>
    </w:p>
    <w:p w14:paraId="4D37076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A: 200000/2000=100，100×20%=20</w:t>
      </w:r>
    </w:p>
    <w:p w14:paraId="229A2E7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B: 150000/2000=75，75×20%=15</w:t>
      </w:r>
    </w:p>
    <w:p w14:paraId="19B6651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C: 100000/2000=50，50×20%=10</w:t>
      </w:r>
    </w:p>
    <w:p w14:paraId="56D01B8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公司实际效益和提供就业岗位数也按照同样的方法进行计算，分别得出公司实际效益和提供就业岗位数的分值，最终将各部分进行相加得到创业部分的分值。</w:t>
      </w:r>
    </w:p>
    <w:p w14:paraId="40A8088C">
      <w:pPr>
        <w:spacing w:line="560" w:lineRule="exact"/>
        <w:ind w:firstLine="640" w:firstLineChars="200"/>
        <w:rPr>
          <w:rFonts w:hint="eastAsia" w:ascii="仿宋" w:hAnsi="仿宋" w:eastAsia="仿宋" w:cs="仿宋"/>
          <w:color w:val="auto"/>
          <w:sz w:val="32"/>
          <w:szCs w:val="32"/>
        </w:rPr>
      </w:pPr>
    </w:p>
    <w:p w14:paraId="3D0AA731">
      <w:pPr>
        <w:pStyle w:val="2"/>
        <w:numPr>
          <w:ilvl w:val="0"/>
          <w:numId w:val="1"/>
        </w:numPr>
        <w:snapToGrid w:val="0"/>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社会工作和社会活动</w:t>
      </w:r>
    </w:p>
    <w:p w14:paraId="2320D7C3">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主要奖励管理能力较强、投入时间多，在社会工作中取得突出成绩，有较高群众基础和群众威信，在学生中起到模范带头作用的各级研究生组织学生骨干。</w:t>
      </w:r>
      <w:r>
        <w:rPr>
          <w:rFonts w:hint="eastAsia" w:ascii="仿宋" w:hAnsi="仿宋" w:eastAsia="仿宋" w:cs="仿宋"/>
          <w:color w:val="auto"/>
          <w:sz w:val="32"/>
          <w:szCs w:val="32"/>
          <w:lang w:val="en-US" w:eastAsia="zh-CN"/>
        </w:rPr>
        <w:t>参评本单项奖学金</w:t>
      </w:r>
      <w:r>
        <w:rPr>
          <w:rFonts w:hint="eastAsia" w:ascii="仿宋" w:hAnsi="仿宋" w:eastAsia="仿宋" w:cs="仿宋"/>
          <w:color w:val="FF0000"/>
          <w:sz w:val="32"/>
          <w:szCs w:val="32"/>
          <w:lang w:val="en-US" w:eastAsia="zh-CN"/>
        </w:rPr>
        <w:t>需在学院内部担任一级和二级学生干部满6个月。</w:t>
      </w:r>
      <w:r>
        <w:rPr>
          <w:rFonts w:hint="eastAsia" w:ascii="仿宋" w:hAnsi="仿宋" w:eastAsia="仿宋" w:cs="仿宋"/>
          <w:color w:val="auto"/>
          <w:sz w:val="32"/>
          <w:szCs w:val="32"/>
        </w:rPr>
        <w:t>具体评价标准如下：</w:t>
      </w:r>
    </w:p>
    <w:p w14:paraId="5A3B57A2">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1.社会职务</w:t>
      </w:r>
    </w:p>
    <w:p w14:paraId="3408AB6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热心社会工作，在评选年度内担任研究生干部，积极完成交给组织交给的各项任务，有较强的工作能力和组织能力，工作成绩突出；在同学中有群众基础和较高威信，并能起到模范带头作用，工作勤恳有实效。根据担任职务级别加分标准如下：</w:t>
      </w:r>
    </w:p>
    <w:tbl>
      <w:tblPr>
        <w:tblStyle w:val="4"/>
        <w:tblpPr w:leftFromText="180" w:rightFromText="180" w:vertAnchor="text" w:horzAnchor="page" w:tblpX="1714" w:tblpY="28"/>
        <w:tblOverlap w:val="never"/>
        <w:tblW w:w="45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5"/>
        <w:gridCol w:w="836"/>
        <w:gridCol w:w="836"/>
        <w:gridCol w:w="836"/>
        <w:gridCol w:w="836"/>
      </w:tblGrid>
      <w:tr w14:paraId="6ED5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970"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14:paraId="3EA34C92">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14:paraId="4F0FD631">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656D456A">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10EEADBF">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5E7D1E74">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0B69B474">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14:paraId="1D54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2970" w:type="pct"/>
            <w:tcBorders>
              <w:top w:val="single" w:color="auto" w:sz="6" w:space="0"/>
              <w:left w:val="single" w:color="auto" w:sz="4" w:space="0"/>
              <w:bottom w:val="single" w:color="auto" w:sz="4" w:space="0"/>
              <w:right w:val="single" w:color="auto" w:sz="4" w:space="0"/>
            </w:tcBorders>
            <w:shd w:val="clear" w:color="auto" w:fill="auto"/>
            <w:vAlign w:val="center"/>
          </w:tcPr>
          <w:p w14:paraId="053831B1">
            <w:pPr>
              <w:spacing w:line="560" w:lineRule="exact"/>
              <w:rPr>
                <w:rFonts w:ascii="仿宋" w:hAnsi="仿宋" w:eastAsia="仿宋" w:cs="仿宋"/>
                <w:color w:val="auto"/>
                <w:sz w:val="24"/>
              </w:rPr>
            </w:pPr>
            <w:r>
              <w:rPr>
                <w:rFonts w:hint="eastAsia" w:ascii="仿宋" w:hAnsi="仿宋" w:eastAsia="仿宋" w:cs="仿宋"/>
                <w:color w:val="auto"/>
                <w:sz w:val="24"/>
                <w:lang w:val="en-US" w:eastAsia="zh-CN"/>
              </w:rPr>
              <w:t>一级职务：</w:t>
            </w: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研究生兼职辅导员、院研会主席、院团总支书记、党支部</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副</w:t>
            </w:r>
            <w:r>
              <w:rPr>
                <w:rFonts w:hint="eastAsia" w:ascii="仿宋" w:hAnsi="仿宋" w:eastAsia="仿宋" w:cs="仿宋"/>
                <w:color w:val="auto"/>
                <w:sz w:val="24"/>
                <w:lang w:eastAsia="zh-CN" w:bidi="ar"/>
              </w:rPr>
              <w:t>）</w:t>
            </w:r>
            <w:r>
              <w:rPr>
                <w:rFonts w:hint="eastAsia" w:ascii="仿宋" w:hAnsi="仿宋" w:eastAsia="仿宋" w:cs="仿宋"/>
                <w:color w:val="auto"/>
                <w:sz w:val="24"/>
                <w:lang w:bidi="ar"/>
              </w:rPr>
              <w:t>书记</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FAE8B7F">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0A66C0EB">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37EC4EFE">
            <w:pPr>
              <w:spacing w:line="360" w:lineRule="auto"/>
              <w:jc w:val="center"/>
              <w:rPr>
                <w:rFonts w:hint="default" w:ascii="仿宋" w:hAnsi="仿宋" w:eastAsia="仿宋" w:cs="仿宋"/>
                <w:color w:val="auto"/>
                <w:sz w:val="24"/>
                <w:lang w:val="en-US" w:eastAsia="zh-CN" w:bidi="ar"/>
              </w:rPr>
            </w:pPr>
            <w:r>
              <w:rPr>
                <w:rFonts w:hint="eastAsia" w:ascii="仿宋" w:hAnsi="仿宋" w:eastAsia="仿宋" w:cs="仿宋"/>
                <w:color w:val="auto"/>
                <w:sz w:val="24"/>
                <w:lang w:val="en-US" w:eastAsia="zh-CN" w:bidi="ar"/>
              </w:rPr>
              <w:t>15</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45B0E3EE">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14:paraId="35AE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14:paraId="52D431D8">
            <w:pPr>
              <w:spacing w:line="360" w:lineRule="auto"/>
              <w:rPr>
                <w:rFonts w:ascii="仿宋" w:hAnsi="仿宋" w:eastAsia="仿宋" w:cs="仿宋"/>
                <w:color w:val="auto"/>
                <w:sz w:val="24"/>
              </w:rPr>
            </w:pPr>
            <w:r>
              <w:rPr>
                <w:rFonts w:hint="eastAsia" w:ascii="仿宋" w:hAnsi="仿宋" w:eastAsia="仿宋" w:cs="仿宋"/>
                <w:color w:val="auto"/>
                <w:sz w:val="24"/>
                <w:lang w:val="en-US" w:eastAsia="zh-CN" w:bidi="ar"/>
              </w:rPr>
              <w:t>二级职务：</w:t>
            </w:r>
            <w:r>
              <w:rPr>
                <w:rFonts w:hint="eastAsia" w:ascii="仿宋" w:hAnsi="仿宋" w:eastAsia="仿宋" w:cs="仿宋"/>
                <w:color w:val="auto"/>
                <w:sz w:val="24"/>
                <w:lang w:bidi="ar"/>
              </w:rPr>
              <w:t>校职能部门（含院）各学生组织</w:t>
            </w:r>
            <w:r>
              <w:rPr>
                <w:rFonts w:hint="eastAsia" w:ascii="仿宋" w:hAnsi="仿宋" w:eastAsia="仿宋" w:cs="仿宋"/>
                <w:color w:val="auto"/>
                <w:sz w:val="24"/>
                <w:lang w:val="en-US" w:eastAsia="zh-CN" w:bidi="ar"/>
              </w:rPr>
              <w:t>部长/副部长</w:t>
            </w:r>
            <w:r>
              <w:rPr>
                <w:rFonts w:hint="eastAsia" w:ascii="仿宋" w:hAnsi="仿宋" w:eastAsia="仿宋" w:cs="仿宋"/>
                <w:color w:val="auto"/>
                <w:sz w:val="24"/>
                <w:lang w:bidi="ar"/>
              </w:rPr>
              <w:t>、党支部</w:t>
            </w:r>
            <w:r>
              <w:rPr>
                <w:rFonts w:hint="eastAsia" w:ascii="仿宋" w:hAnsi="仿宋" w:eastAsia="仿宋" w:cs="仿宋"/>
                <w:color w:val="auto"/>
                <w:sz w:val="24"/>
                <w:lang w:val="en-US" w:eastAsia="zh-CN" w:bidi="ar"/>
              </w:rPr>
              <w:t>总支委员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功能型党支部）、</w:t>
            </w:r>
            <w:r>
              <w:rPr>
                <w:rFonts w:hint="eastAsia" w:ascii="仿宋" w:hAnsi="仿宋" w:eastAsia="仿宋" w:cs="仿宋"/>
                <w:color w:val="auto"/>
                <w:sz w:val="24"/>
                <w:lang w:bidi="ar"/>
              </w:rPr>
              <w:t>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r>
              <w:rPr>
                <w:rFonts w:hint="eastAsia" w:ascii="仿宋" w:hAnsi="仿宋" w:eastAsia="仿宋" w:cs="仿宋"/>
                <w:color w:val="auto"/>
                <w:sz w:val="24"/>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7A7DE87D">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27CFDFB">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15</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9406BC7">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8</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56081ACE">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14:paraId="7E4A9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14:paraId="6A18AF37">
            <w:pPr>
              <w:spacing w:line="560" w:lineRule="exact"/>
              <w:jc w:val="left"/>
              <w:rPr>
                <w:rFonts w:ascii="仿宋" w:hAnsi="仿宋" w:eastAsia="仿宋" w:cs="仿宋"/>
                <w:color w:val="auto"/>
                <w:sz w:val="24"/>
              </w:rPr>
            </w:pPr>
            <w:r>
              <w:rPr>
                <w:rFonts w:hint="eastAsia" w:ascii="仿宋" w:hAnsi="仿宋" w:eastAsia="仿宋" w:cs="仿宋"/>
                <w:color w:val="auto"/>
                <w:sz w:val="24"/>
                <w:lang w:val="en-US" w:eastAsia="zh-CN" w:bidi="ar"/>
              </w:rPr>
              <w:t>三级职务：</w:t>
            </w:r>
            <w:r>
              <w:rPr>
                <w:rFonts w:hint="eastAsia" w:ascii="仿宋" w:hAnsi="仿宋" w:eastAsia="仿宋" w:cs="仿宋"/>
                <w:color w:val="auto"/>
                <w:sz w:val="24"/>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65B5A596">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20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6F5290A1">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05252B13">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5</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2BD7235">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14:paraId="60EFFF23">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注：“担任职务栏”以最高级别计，不重复计分</w:t>
      </w:r>
      <w:r>
        <w:rPr>
          <w:rFonts w:hint="eastAsia" w:ascii="仿宋" w:hAnsi="仿宋" w:eastAsia="仿宋" w:cs="仿宋"/>
          <w:color w:val="auto"/>
          <w:sz w:val="32"/>
          <w:szCs w:val="32"/>
          <w:lang w:eastAsia="zh-CN"/>
        </w:rPr>
        <w:t>。</w:t>
      </w:r>
    </w:p>
    <w:p w14:paraId="7063EB9B">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2.活动获奖</w:t>
      </w:r>
    </w:p>
    <w:p w14:paraId="7B53FD5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积极参加健康有益的各类活动，收到较好效果并获得奖项；带头参加由学校、学院或班级等组织的各项活动并获得奖项；按照活动级别加分标准如下：</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81"/>
        <w:gridCol w:w="1176"/>
        <w:gridCol w:w="1309"/>
        <w:gridCol w:w="1254"/>
        <w:gridCol w:w="1337"/>
        <w:gridCol w:w="1418"/>
      </w:tblGrid>
      <w:tr w14:paraId="5B164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jc w:val="center"/>
        </w:trPr>
        <w:tc>
          <w:tcPr>
            <w:tcW w:w="0" w:type="auto"/>
            <w:tcBorders>
              <w:top w:val="single" w:color="auto" w:sz="4" w:space="0"/>
              <w:left w:val="single" w:color="auto" w:sz="4" w:space="0"/>
              <w:bottom w:val="single" w:color="auto" w:sz="4" w:space="0"/>
              <w:right w:val="single" w:color="000000" w:sz="8" w:space="0"/>
            </w:tcBorders>
            <w:shd w:val="clear" w:color="auto" w:fill="auto"/>
            <w:vAlign w:val="center"/>
          </w:tcPr>
          <w:p w14:paraId="6DDDF444">
            <w:pPr>
              <w:keepNext w:val="0"/>
              <w:keepLines w:val="0"/>
              <w:widowControl/>
              <w:suppressLineNumbers w:val="0"/>
              <w:ind w:firstLineChars="100"/>
              <w:jc w:val="both"/>
              <w:textAlignment w:val="center"/>
              <w:rPr>
                <w:rFonts w:hint="eastAsia" w:ascii="仿宋" w:hAnsi="仿宋" w:eastAsia="仿宋" w:cs="仿宋"/>
                <w:i w:val="0"/>
                <w:iCs w:val="0"/>
                <w:color w:val="000000"/>
                <w:sz w:val="21"/>
                <w:szCs w:val="21"/>
                <w:u w:val="none"/>
              </w:rPr>
            </w:pPr>
            <w:bookmarkStart w:id="2" w:name="OLE_LINK12"/>
            <w:r>
              <w:rPr>
                <w:sz w:val="21"/>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2540</wp:posOffset>
                      </wp:positionV>
                      <wp:extent cx="986790" cy="597535"/>
                      <wp:effectExtent l="3175" t="5715" r="13335" b="6350"/>
                      <wp:wrapNone/>
                      <wp:docPr id="5" name="直接连接符 5"/>
                      <wp:cNvGraphicFramePr/>
                      <a:graphic xmlns:a="http://schemas.openxmlformats.org/drawingml/2006/main">
                        <a:graphicData uri="http://schemas.microsoft.com/office/word/2010/wordprocessingShape">
                          <wps:wsp>
                            <wps:cNvCnPr/>
                            <wps:spPr>
                              <a:xfrm>
                                <a:off x="1126490" y="6758940"/>
                                <a:ext cx="986790" cy="5975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6pt;margin-top:0.2pt;height:47.05pt;width:77.7pt;z-index:251659264;mso-width-relative:page;mso-height-relative:page;" filled="f" stroked="t" coordsize="21600,21600" o:gfxdata="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pXSG60gAAAAYBAAAPAAAAAAAAAAEAIAAAACIAAABkcnMvZG93bnJldi54bWxQSwEC&#10;FAAUAAAACACHTuJAfgJJ8voBAADCAwAADgAAAAAAAAABACAAAAAhAQAAZHJzL2Uyb0RvYy54bWxQ&#10;SwUGAAAAAAYABgBZAQAAjQUAAAAA&#10;">
                      <v:fill on="f" focussize="0,0"/>
                      <v:stroke weight="1pt" color="#5B9BD5 [3204]" miterlimit="8" joinstyle="miter"/>
                      <v:imagedata o:title=""/>
                      <o:lock v:ext="edit" aspectratio="f"/>
                    </v:line>
                  </w:pict>
                </mc:Fallback>
              </mc:AlternateContent>
            </w:r>
            <w:r>
              <w:rPr>
                <w:rFonts w:hint="eastAsia" w:ascii="仿宋" w:hAnsi="仿宋" w:eastAsia="仿宋" w:cs="仿宋"/>
                <w:i w:val="0"/>
                <w:iCs w:val="0"/>
                <w:color w:val="000000"/>
                <w:kern w:val="0"/>
                <w:sz w:val="21"/>
                <w:szCs w:val="21"/>
                <w:u w:val="none"/>
                <w:lang w:val="en-US" w:eastAsia="zh-CN" w:bidi="ar"/>
              </w:rPr>
              <w:t xml:space="preserve">       等次</w:t>
            </w:r>
          </w:p>
        </w:tc>
        <w:tc>
          <w:tcPr>
            <w:tcW w:w="1176" w:type="dxa"/>
            <w:vMerge w:val="restart"/>
            <w:tcBorders>
              <w:top w:val="single" w:color="auto" w:sz="4" w:space="0"/>
              <w:left w:val="nil"/>
              <w:bottom w:val="single" w:color="auto" w:sz="4" w:space="0"/>
              <w:right w:val="single" w:color="000000" w:sz="8" w:space="0"/>
            </w:tcBorders>
            <w:shd w:val="clear" w:color="auto" w:fill="auto"/>
            <w:vAlign w:val="center"/>
          </w:tcPr>
          <w:p w14:paraId="0BCE85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特等奖</w:t>
            </w:r>
          </w:p>
        </w:tc>
        <w:tc>
          <w:tcPr>
            <w:tcW w:w="1309" w:type="dxa"/>
            <w:vMerge w:val="restart"/>
            <w:tcBorders>
              <w:top w:val="single" w:color="auto" w:sz="4" w:space="0"/>
              <w:left w:val="nil"/>
              <w:bottom w:val="single" w:color="auto" w:sz="4" w:space="0"/>
              <w:right w:val="single" w:color="auto" w:sz="4" w:space="0"/>
            </w:tcBorders>
            <w:shd w:val="clear" w:color="auto" w:fill="auto"/>
            <w:vAlign w:val="center"/>
          </w:tcPr>
          <w:p w14:paraId="7BB0AD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一等奖</w:t>
            </w:r>
          </w:p>
        </w:tc>
        <w:tc>
          <w:tcPr>
            <w:tcW w:w="1254" w:type="dxa"/>
            <w:vMerge w:val="restart"/>
            <w:tcBorders>
              <w:top w:val="single" w:color="000000" w:sz="8" w:space="0"/>
              <w:left w:val="single" w:color="auto" w:sz="4" w:space="0"/>
              <w:bottom w:val="single" w:color="000000" w:sz="8" w:space="0"/>
              <w:right w:val="single" w:color="000000" w:sz="8" w:space="0"/>
            </w:tcBorders>
            <w:shd w:val="clear" w:color="auto" w:fill="auto"/>
            <w:vAlign w:val="center"/>
          </w:tcPr>
          <w:p w14:paraId="43F064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二等奖</w:t>
            </w:r>
          </w:p>
        </w:tc>
        <w:tc>
          <w:tcPr>
            <w:tcW w:w="1337" w:type="dxa"/>
            <w:vMerge w:val="restart"/>
            <w:tcBorders>
              <w:top w:val="single" w:color="000000" w:sz="8" w:space="0"/>
              <w:left w:val="nil"/>
              <w:bottom w:val="single" w:color="000000" w:sz="8" w:space="0"/>
              <w:right w:val="single" w:color="000000" w:sz="8" w:space="0"/>
            </w:tcBorders>
            <w:shd w:val="clear" w:color="auto" w:fill="auto"/>
            <w:vAlign w:val="center"/>
          </w:tcPr>
          <w:p w14:paraId="62076F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三等奖</w:t>
            </w:r>
          </w:p>
        </w:tc>
        <w:tc>
          <w:tcPr>
            <w:tcW w:w="1418" w:type="dxa"/>
            <w:vMerge w:val="restart"/>
            <w:tcBorders>
              <w:top w:val="single" w:color="000000" w:sz="8" w:space="0"/>
              <w:left w:val="nil"/>
              <w:bottom w:val="single" w:color="000000" w:sz="8" w:space="0"/>
              <w:right w:val="single" w:color="000000" w:sz="8" w:space="0"/>
            </w:tcBorders>
            <w:shd w:val="clear" w:color="auto" w:fill="auto"/>
            <w:vAlign w:val="center"/>
          </w:tcPr>
          <w:p w14:paraId="293691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优秀奖</w:t>
            </w:r>
          </w:p>
        </w:tc>
      </w:tr>
      <w:tr w14:paraId="00226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jc w:val="center"/>
        </w:trPr>
        <w:tc>
          <w:tcPr>
            <w:tcW w:w="0" w:type="auto"/>
            <w:tcBorders>
              <w:top w:val="single" w:color="auto" w:sz="4" w:space="0"/>
              <w:left w:val="single" w:color="000000" w:sz="8" w:space="0"/>
              <w:bottom w:val="single" w:color="000000" w:sz="8" w:space="0"/>
              <w:right w:val="single" w:color="000000" w:sz="8" w:space="0"/>
            </w:tcBorders>
            <w:shd w:val="clear" w:color="auto" w:fill="auto"/>
            <w:vAlign w:val="center"/>
          </w:tcPr>
          <w:p w14:paraId="4FC7702A">
            <w:pPr>
              <w:keepNext w:val="0"/>
              <w:keepLines w:val="0"/>
              <w:widowControl/>
              <w:suppressLineNumbers w:val="0"/>
              <w:ind w:firstLineChars="10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获奖级别</w:t>
            </w:r>
          </w:p>
        </w:tc>
        <w:tc>
          <w:tcPr>
            <w:tcW w:w="1176" w:type="dxa"/>
            <w:vMerge w:val="continue"/>
            <w:tcBorders>
              <w:top w:val="single" w:color="auto" w:sz="4" w:space="0"/>
              <w:left w:val="nil"/>
              <w:bottom w:val="single" w:color="000000" w:sz="8" w:space="0"/>
              <w:right w:val="single" w:color="000000" w:sz="8" w:space="0"/>
            </w:tcBorders>
            <w:shd w:val="clear" w:color="auto" w:fill="auto"/>
            <w:vAlign w:val="center"/>
          </w:tcPr>
          <w:p w14:paraId="12783D35">
            <w:pPr>
              <w:jc w:val="center"/>
              <w:rPr>
                <w:rFonts w:hint="eastAsia" w:ascii="仿宋" w:hAnsi="仿宋" w:eastAsia="仿宋" w:cs="仿宋"/>
                <w:i w:val="0"/>
                <w:iCs w:val="0"/>
                <w:color w:val="000000"/>
                <w:sz w:val="21"/>
                <w:szCs w:val="21"/>
                <w:u w:val="none"/>
              </w:rPr>
            </w:pPr>
          </w:p>
        </w:tc>
        <w:tc>
          <w:tcPr>
            <w:tcW w:w="1309" w:type="dxa"/>
            <w:vMerge w:val="continue"/>
            <w:tcBorders>
              <w:top w:val="single" w:color="auto" w:sz="4" w:space="0"/>
              <w:left w:val="nil"/>
              <w:bottom w:val="single" w:color="000000" w:sz="8" w:space="0"/>
              <w:right w:val="single" w:color="auto" w:sz="4" w:space="0"/>
            </w:tcBorders>
            <w:shd w:val="clear" w:color="auto" w:fill="auto"/>
            <w:vAlign w:val="center"/>
          </w:tcPr>
          <w:p w14:paraId="2578CD8C">
            <w:pPr>
              <w:jc w:val="center"/>
              <w:rPr>
                <w:rFonts w:hint="eastAsia" w:ascii="仿宋" w:hAnsi="仿宋" w:eastAsia="仿宋" w:cs="仿宋"/>
                <w:i w:val="0"/>
                <w:iCs w:val="0"/>
                <w:color w:val="000000"/>
                <w:sz w:val="21"/>
                <w:szCs w:val="21"/>
                <w:u w:val="none"/>
              </w:rPr>
            </w:pPr>
          </w:p>
        </w:tc>
        <w:tc>
          <w:tcPr>
            <w:tcW w:w="1254"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14:paraId="145A8952">
            <w:pPr>
              <w:jc w:val="center"/>
              <w:rPr>
                <w:rFonts w:hint="eastAsia" w:ascii="仿宋" w:hAnsi="仿宋" w:eastAsia="仿宋" w:cs="仿宋"/>
                <w:i w:val="0"/>
                <w:iCs w:val="0"/>
                <w:color w:val="000000"/>
                <w:sz w:val="21"/>
                <w:szCs w:val="21"/>
                <w:u w:val="none"/>
              </w:rPr>
            </w:pPr>
          </w:p>
        </w:tc>
        <w:tc>
          <w:tcPr>
            <w:tcW w:w="1337" w:type="dxa"/>
            <w:vMerge w:val="continue"/>
            <w:tcBorders>
              <w:top w:val="single" w:color="000000" w:sz="8" w:space="0"/>
              <w:left w:val="nil"/>
              <w:bottom w:val="single" w:color="000000" w:sz="8" w:space="0"/>
              <w:right w:val="single" w:color="000000" w:sz="8" w:space="0"/>
            </w:tcBorders>
            <w:shd w:val="clear" w:color="auto" w:fill="auto"/>
            <w:vAlign w:val="center"/>
          </w:tcPr>
          <w:p w14:paraId="7B3A39C1">
            <w:pPr>
              <w:jc w:val="center"/>
              <w:rPr>
                <w:rFonts w:hint="eastAsia" w:ascii="仿宋" w:hAnsi="仿宋" w:eastAsia="仿宋" w:cs="仿宋"/>
                <w:i w:val="0"/>
                <w:iCs w:val="0"/>
                <w:color w:val="000000"/>
                <w:sz w:val="21"/>
                <w:szCs w:val="21"/>
                <w:u w:val="none"/>
              </w:rPr>
            </w:pPr>
          </w:p>
        </w:tc>
        <w:tc>
          <w:tcPr>
            <w:tcW w:w="1418" w:type="dxa"/>
            <w:vMerge w:val="continue"/>
            <w:tcBorders>
              <w:top w:val="single" w:color="000000" w:sz="8" w:space="0"/>
              <w:left w:val="nil"/>
              <w:bottom w:val="single" w:color="000000" w:sz="8" w:space="0"/>
              <w:right w:val="single" w:color="000000" w:sz="8" w:space="0"/>
            </w:tcBorders>
            <w:shd w:val="clear" w:color="auto" w:fill="auto"/>
            <w:vAlign w:val="center"/>
          </w:tcPr>
          <w:p w14:paraId="7361F3BB">
            <w:pPr>
              <w:jc w:val="center"/>
              <w:rPr>
                <w:rFonts w:hint="eastAsia" w:ascii="仿宋" w:hAnsi="仿宋" w:eastAsia="仿宋" w:cs="仿宋"/>
                <w:i w:val="0"/>
                <w:iCs w:val="0"/>
                <w:color w:val="000000"/>
                <w:sz w:val="21"/>
                <w:szCs w:val="21"/>
                <w:u w:val="none"/>
              </w:rPr>
            </w:pPr>
          </w:p>
        </w:tc>
      </w:tr>
      <w:tr w14:paraId="77335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jc w:val="center"/>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82078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国际级</w:t>
            </w:r>
          </w:p>
        </w:tc>
        <w:tc>
          <w:tcPr>
            <w:tcW w:w="1176" w:type="dxa"/>
            <w:tcBorders>
              <w:top w:val="single" w:color="000000" w:sz="8" w:space="0"/>
              <w:left w:val="nil"/>
              <w:bottom w:val="single" w:color="000000" w:sz="8" w:space="0"/>
              <w:right w:val="single" w:color="000000" w:sz="8" w:space="0"/>
            </w:tcBorders>
            <w:shd w:val="clear" w:color="auto" w:fill="auto"/>
            <w:vAlign w:val="center"/>
          </w:tcPr>
          <w:p w14:paraId="676EEA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1309" w:type="dxa"/>
            <w:tcBorders>
              <w:top w:val="single" w:color="000000" w:sz="8" w:space="0"/>
              <w:left w:val="nil"/>
              <w:bottom w:val="single" w:color="000000" w:sz="8" w:space="0"/>
              <w:right w:val="single" w:color="000000" w:sz="8" w:space="0"/>
            </w:tcBorders>
            <w:shd w:val="clear" w:color="auto" w:fill="auto"/>
            <w:vAlign w:val="center"/>
          </w:tcPr>
          <w:p w14:paraId="7B068A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w:t>
            </w:r>
          </w:p>
        </w:tc>
        <w:tc>
          <w:tcPr>
            <w:tcW w:w="1254" w:type="dxa"/>
            <w:tcBorders>
              <w:top w:val="single" w:color="000000" w:sz="8" w:space="0"/>
              <w:left w:val="nil"/>
              <w:bottom w:val="single" w:color="000000" w:sz="8" w:space="0"/>
              <w:right w:val="single" w:color="000000" w:sz="8" w:space="0"/>
            </w:tcBorders>
            <w:shd w:val="clear" w:color="auto" w:fill="auto"/>
            <w:vAlign w:val="center"/>
          </w:tcPr>
          <w:p w14:paraId="6B27C9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1337" w:type="dxa"/>
            <w:tcBorders>
              <w:top w:val="single" w:color="000000" w:sz="8" w:space="0"/>
              <w:left w:val="nil"/>
              <w:bottom w:val="single" w:color="000000" w:sz="8" w:space="0"/>
              <w:right w:val="single" w:color="000000" w:sz="8" w:space="0"/>
            </w:tcBorders>
            <w:shd w:val="clear" w:color="auto" w:fill="auto"/>
            <w:vAlign w:val="center"/>
          </w:tcPr>
          <w:p w14:paraId="38AA39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1418" w:type="dxa"/>
            <w:tcBorders>
              <w:top w:val="single" w:color="000000" w:sz="8" w:space="0"/>
              <w:left w:val="nil"/>
              <w:bottom w:val="single" w:color="000000" w:sz="8" w:space="0"/>
              <w:right w:val="single" w:color="000000" w:sz="8" w:space="0"/>
            </w:tcBorders>
            <w:shd w:val="clear" w:color="auto" w:fill="auto"/>
            <w:vAlign w:val="center"/>
          </w:tcPr>
          <w:p w14:paraId="5B6B96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r>
      <w:tr w14:paraId="4047F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jc w:val="center"/>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F9ECD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国家级</w:t>
            </w:r>
          </w:p>
        </w:tc>
        <w:tc>
          <w:tcPr>
            <w:tcW w:w="1176" w:type="dxa"/>
            <w:tcBorders>
              <w:top w:val="single" w:color="000000" w:sz="8" w:space="0"/>
              <w:left w:val="nil"/>
              <w:bottom w:val="single" w:color="000000" w:sz="8" w:space="0"/>
              <w:right w:val="single" w:color="000000" w:sz="8" w:space="0"/>
            </w:tcBorders>
            <w:shd w:val="clear" w:color="auto" w:fill="auto"/>
            <w:vAlign w:val="center"/>
          </w:tcPr>
          <w:p w14:paraId="351E94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1309" w:type="dxa"/>
            <w:tcBorders>
              <w:top w:val="single" w:color="000000" w:sz="8" w:space="0"/>
              <w:left w:val="nil"/>
              <w:bottom w:val="single" w:color="000000" w:sz="8" w:space="0"/>
              <w:right w:val="single" w:color="000000" w:sz="8" w:space="0"/>
            </w:tcBorders>
            <w:shd w:val="clear" w:color="auto" w:fill="auto"/>
            <w:vAlign w:val="center"/>
          </w:tcPr>
          <w:p w14:paraId="1BE153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1254" w:type="dxa"/>
            <w:tcBorders>
              <w:top w:val="single" w:color="000000" w:sz="8" w:space="0"/>
              <w:left w:val="nil"/>
              <w:bottom w:val="single" w:color="000000" w:sz="8" w:space="0"/>
              <w:right w:val="single" w:color="000000" w:sz="8" w:space="0"/>
            </w:tcBorders>
            <w:shd w:val="clear" w:color="auto" w:fill="auto"/>
            <w:vAlign w:val="center"/>
          </w:tcPr>
          <w:p w14:paraId="37FF9F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w:t>
            </w:r>
          </w:p>
        </w:tc>
        <w:tc>
          <w:tcPr>
            <w:tcW w:w="1337" w:type="dxa"/>
            <w:tcBorders>
              <w:top w:val="single" w:color="000000" w:sz="8" w:space="0"/>
              <w:left w:val="nil"/>
              <w:bottom w:val="single" w:color="000000" w:sz="8" w:space="0"/>
              <w:right w:val="single" w:color="000000" w:sz="8" w:space="0"/>
            </w:tcBorders>
            <w:shd w:val="clear" w:color="auto" w:fill="auto"/>
            <w:vAlign w:val="center"/>
          </w:tcPr>
          <w:p w14:paraId="5740DC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1418" w:type="dxa"/>
            <w:tcBorders>
              <w:top w:val="single" w:color="000000" w:sz="8" w:space="0"/>
              <w:left w:val="nil"/>
              <w:bottom w:val="single" w:color="000000" w:sz="8" w:space="0"/>
              <w:right w:val="single" w:color="000000" w:sz="8" w:space="0"/>
            </w:tcBorders>
            <w:shd w:val="clear" w:color="auto" w:fill="auto"/>
            <w:vAlign w:val="center"/>
          </w:tcPr>
          <w:p w14:paraId="1DFAC4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r>
      <w:tr w14:paraId="48E61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jc w:val="center"/>
        </w:trPr>
        <w:tc>
          <w:tcPr>
            <w:tcW w:w="0" w:type="auto"/>
            <w:tcBorders>
              <w:top w:val="nil"/>
              <w:left w:val="single" w:color="000000" w:sz="8" w:space="0"/>
              <w:bottom w:val="single" w:color="000000" w:sz="8" w:space="0"/>
              <w:right w:val="single" w:color="000000" w:sz="8" w:space="0"/>
            </w:tcBorders>
            <w:shd w:val="clear" w:color="auto" w:fill="auto"/>
            <w:vAlign w:val="center"/>
          </w:tcPr>
          <w:p w14:paraId="06179E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省级</w:t>
            </w:r>
          </w:p>
        </w:tc>
        <w:tc>
          <w:tcPr>
            <w:tcW w:w="1176" w:type="dxa"/>
            <w:tcBorders>
              <w:top w:val="nil"/>
              <w:left w:val="nil"/>
              <w:bottom w:val="single" w:color="000000" w:sz="8" w:space="0"/>
              <w:right w:val="single" w:color="000000" w:sz="8" w:space="0"/>
            </w:tcBorders>
            <w:shd w:val="clear" w:color="auto" w:fill="auto"/>
            <w:vAlign w:val="center"/>
          </w:tcPr>
          <w:p w14:paraId="52C41F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1309" w:type="dxa"/>
            <w:tcBorders>
              <w:top w:val="nil"/>
              <w:left w:val="nil"/>
              <w:bottom w:val="single" w:color="000000" w:sz="8" w:space="0"/>
              <w:right w:val="single" w:color="000000" w:sz="8" w:space="0"/>
            </w:tcBorders>
            <w:shd w:val="clear" w:color="auto" w:fill="auto"/>
            <w:vAlign w:val="center"/>
          </w:tcPr>
          <w:p w14:paraId="7DCA1C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1254" w:type="dxa"/>
            <w:tcBorders>
              <w:top w:val="nil"/>
              <w:left w:val="nil"/>
              <w:bottom w:val="single" w:color="000000" w:sz="8" w:space="0"/>
              <w:right w:val="single" w:color="000000" w:sz="8" w:space="0"/>
            </w:tcBorders>
            <w:shd w:val="clear" w:color="auto" w:fill="auto"/>
            <w:vAlign w:val="center"/>
          </w:tcPr>
          <w:p w14:paraId="05360D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1337" w:type="dxa"/>
            <w:tcBorders>
              <w:top w:val="nil"/>
              <w:left w:val="nil"/>
              <w:bottom w:val="single" w:color="000000" w:sz="8" w:space="0"/>
              <w:right w:val="single" w:color="000000" w:sz="8" w:space="0"/>
            </w:tcBorders>
            <w:shd w:val="clear" w:color="auto" w:fill="auto"/>
            <w:vAlign w:val="center"/>
          </w:tcPr>
          <w:p w14:paraId="195622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418" w:type="dxa"/>
            <w:tcBorders>
              <w:top w:val="nil"/>
              <w:left w:val="nil"/>
              <w:bottom w:val="single" w:color="000000" w:sz="8" w:space="0"/>
              <w:right w:val="single" w:color="000000" w:sz="8" w:space="0"/>
            </w:tcBorders>
            <w:shd w:val="clear" w:color="auto" w:fill="auto"/>
            <w:vAlign w:val="center"/>
          </w:tcPr>
          <w:p w14:paraId="3EB3F0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14:paraId="6A8B2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jc w:val="center"/>
        </w:trPr>
        <w:tc>
          <w:tcPr>
            <w:tcW w:w="0" w:type="auto"/>
            <w:tcBorders>
              <w:top w:val="nil"/>
              <w:left w:val="single" w:color="000000" w:sz="8" w:space="0"/>
              <w:bottom w:val="single" w:color="000000" w:sz="8" w:space="0"/>
              <w:right w:val="single" w:color="000000" w:sz="8" w:space="0"/>
            </w:tcBorders>
            <w:shd w:val="clear" w:color="auto" w:fill="auto"/>
            <w:vAlign w:val="center"/>
          </w:tcPr>
          <w:p w14:paraId="55565C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校级</w:t>
            </w:r>
          </w:p>
        </w:tc>
        <w:tc>
          <w:tcPr>
            <w:tcW w:w="1176" w:type="dxa"/>
            <w:tcBorders>
              <w:top w:val="nil"/>
              <w:left w:val="nil"/>
              <w:bottom w:val="single" w:color="000000" w:sz="8" w:space="0"/>
              <w:right w:val="single" w:color="000000" w:sz="8" w:space="0"/>
            </w:tcBorders>
            <w:shd w:val="clear" w:color="auto" w:fill="auto"/>
            <w:vAlign w:val="center"/>
          </w:tcPr>
          <w:p w14:paraId="388A63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309" w:type="dxa"/>
            <w:tcBorders>
              <w:top w:val="nil"/>
              <w:left w:val="nil"/>
              <w:bottom w:val="single" w:color="000000" w:sz="8" w:space="0"/>
              <w:right w:val="single" w:color="000000" w:sz="8" w:space="0"/>
            </w:tcBorders>
            <w:shd w:val="clear" w:color="auto" w:fill="auto"/>
            <w:vAlign w:val="center"/>
          </w:tcPr>
          <w:p w14:paraId="243AE6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254" w:type="dxa"/>
            <w:tcBorders>
              <w:top w:val="nil"/>
              <w:left w:val="nil"/>
              <w:bottom w:val="single" w:color="000000" w:sz="8" w:space="0"/>
              <w:right w:val="single" w:color="000000" w:sz="8" w:space="0"/>
            </w:tcBorders>
            <w:shd w:val="clear" w:color="auto" w:fill="auto"/>
            <w:vAlign w:val="center"/>
          </w:tcPr>
          <w:p w14:paraId="02ACCE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37" w:type="dxa"/>
            <w:tcBorders>
              <w:top w:val="nil"/>
              <w:left w:val="nil"/>
              <w:bottom w:val="single" w:color="000000" w:sz="8" w:space="0"/>
              <w:right w:val="single" w:color="000000" w:sz="8" w:space="0"/>
            </w:tcBorders>
            <w:shd w:val="clear" w:color="auto" w:fill="auto"/>
            <w:vAlign w:val="center"/>
          </w:tcPr>
          <w:p w14:paraId="0EA0B7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18" w:type="dxa"/>
            <w:tcBorders>
              <w:top w:val="nil"/>
              <w:left w:val="nil"/>
              <w:bottom w:val="single" w:color="000000" w:sz="8" w:space="0"/>
              <w:right w:val="single" w:color="000000" w:sz="8" w:space="0"/>
            </w:tcBorders>
            <w:shd w:val="clear" w:color="auto" w:fill="auto"/>
            <w:vAlign w:val="center"/>
          </w:tcPr>
          <w:p w14:paraId="64592C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r>
      <w:tr w14:paraId="248D2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jc w:val="center"/>
        </w:trPr>
        <w:tc>
          <w:tcPr>
            <w:tcW w:w="0" w:type="auto"/>
            <w:tcBorders>
              <w:top w:val="nil"/>
              <w:left w:val="single" w:color="000000" w:sz="8" w:space="0"/>
              <w:bottom w:val="single" w:color="000000" w:sz="8" w:space="0"/>
              <w:right w:val="single" w:color="000000" w:sz="8" w:space="0"/>
            </w:tcBorders>
            <w:shd w:val="clear" w:color="auto" w:fill="auto"/>
            <w:vAlign w:val="center"/>
          </w:tcPr>
          <w:p w14:paraId="549CAC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院级</w:t>
            </w:r>
          </w:p>
        </w:tc>
        <w:tc>
          <w:tcPr>
            <w:tcW w:w="1176" w:type="dxa"/>
            <w:tcBorders>
              <w:top w:val="nil"/>
              <w:left w:val="nil"/>
              <w:bottom w:val="single" w:color="000000" w:sz="8" w:space="0"/>
              <w:right w:val="single" w:color="000000" w:sz="8" w:space="0"/>
            </w:tcBorders>
            <w:shd w:val="clear" w:color="auto" w:fill="auto"/>
            <w:vAlign w:val="center"/>
          </w:tcPr>
          <w:p w14:paraId="7D6118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309" w:type="dxa"/>
            <w:tcBorders>
              <w:top w:val="nil"/>
              <w:left w:val="nil"/>
              <w:bottom w:val="single" w:color="000000" w:sz="8" w:space="0"/>
              <w:right w:val="single" w:color="000000" w:sz="8" w:space="0"/>
            </w:tcBorders>
            <w:shd w:val="clear" w:color="auto" w:fill="auto"/>
            <w:vAlign w:val="center"/>
          </w:tcPr>
          <w:p w14:paraId="7C680B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254" w:type="dxa"/>
            <w:tcBorders>
              <w:top w:val="nil"/>
              <w:left w:val="nil"/>
              <w:bottom w:val="single" w:color="000000" w:sz="8" w:space="0"/>
              <w:right w:val="single" w:color="000000" w:sz="8" w:space="0"/>
            </w:tcBorders>
            <w:shd w:val="clear" w:color="auto" w:fill="auto"/>
            <w:vAlign w:val="center"/>
          </w:tcPr>
          <w:p w14:paraId="0F4892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337" w:type="dxa"/>
            <w:tcBorders>
              <w:top w:val="nil"/>
              <w:left w:val="nil"/>
              <w:bottom w:val="single" w:color="000000" w:sz="8" w:space="0"/>
              <w:right w:val="single" w:color="000000" w:sz="8" w:space="0"/>
            </w:tcBorders>
            <w:shd w:val="clear" w:color="auto" w:fill="auto"/>
            <w:vAlign w:val="center"/>
          </w:tcPr>
          <w:p w14:paraId="28CB37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418" w:type="dxa"/>
            <w:tcBorders>
              <w:top w:val="nil"/>
              <w:left w:val="nil"/>
              <w:bottom w:val="single" w:color="000000" w:sz="8" w:space="0"/>
              <w:right w:val="single" w:color="000000" w:sz="8" w:space="0"/>
            </w:tcBorders>
            <w:shd w:val="clear" w:color="auto" w:fill="auto"/>
            <w:vAlign w:val="center"/>
          </w:tcPr>
          <w:p w14:paraId="672716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r>
      <w:bookmarkEnd w:id="2"/>
    </w:tbl>
    <w:p w14:paraId="7193181A">
      <w:pPr>
        <w:spacing w:line="56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组织活动的级别按照承办单位级别鉴定，若组织校级及以上层面活动影响范围大，获得更高级别刊物报道，按相应更高级别奖项加分。</w:t>
      </w:r>
    </w:p>
    <w:p w14:paraId="02E6847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同一活动获得多个奖项的，按最高奖项加分；不同活动奖项分数可累加。以团体获奖非</w:t>
      </w:r>
      <w:r>
        <w:rPr>
          <w:rFonts w:hint="eastAsia" w:ascii="仿宋" w:hAnsi="仿宋" w:eastAsia="仿宋" w:cs="仿宋"/>
          <w:color w:val="auto"/>
          <w:sz w:val="32"/>
          <w:szCs w:val="32"/>
          <w:lang w:val="en-US" w:eastAsia="zh-CN"/>
        </w:rPr>
        <w:t>主要</w:t>
      </w:r>
      <w:r>
        <w:rPr>
          <w:rFonts w:hint="eastAsia" w:ascii="仿宋" w:hAnsi="仿宋" w:eastAsia="仿宋" w:cs="仿宋"/>
          <w:color w:val="auto"/>
          <w:sz w:val="32"/>
          <w:szCs w:val="32"/>
        </w:rPr>
        <w:t>负责人须扣除5分。</w:t>
      </w:r>
    </w:p>
    <w:p w14:paraId="7B2D98DB">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以贵州大学名义颁发的优秀研究生干部等奖项按校级一等奖加分；由党委研究生工作部、共青团贵州大学委员会等校级职能部门颁发的</w:t>
      </w:r>
      <w:r>
        <w:rPr>
          <w:rFonts w:hint="eastAsia" w:ascii="仿宋" w:hAnsi="仿宋" w:eastAsia="仿宋" w:cs="仿宋"/>
          <w:color w:val="auto"/>
          <w:sz w:val="32"/>
          <w:szCs w:val="32"/>
          <w:lang w:val="en-US" w:eastAsia="zh-CN"/>
        </w:rPr>
        <w:t>优秀党务工作者、</w:t>
      </w:r>
      <w:r>
        <w:rPr>
          <w:rFonts w:hint="eastAsia" w:ascii="仿宋" w:hAnsi="仿宋" w:eastAsia="仿宋" w:cs="仿宋"/>
          <w:color w:val="auto"/>
          <w:sz w:val="32"/>
          <w:szCs w:val="32"/>
        </w:rPr>
        <w:t>先进个人、优秀共青团干部等奖项按校级二等奖加分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优秀工作者、优秀志愿者等按照校级三等奖加分</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院级优秀党务工作者、</w:t>
      </w:r>
      <w:r>
        <w:rPr>
          <w:rFonts w:hint="eastAsia" w:ascii="仿宋" w:hAnsi="仿宋" w:eastAsia="仿宋" w:cs="仿宋"/>
          <w:color w:val="auto"/>
          <w:sz w:val="32"/>
          <w:szCs w:val="32"/>
        </w:rPr>
        <w:t>先进个人、优秀共青团干部</w:t>
      </w:r>
      <w:r>
        <w:rPr>
          <w:rFonts w:hint="eastAsia" w:ascii="仿宋" w:hAnsi="仿宋" w:eastAsia="仿宋" w:cs="仿宋"/>
          <w:color w:val="auto"/>
          <w:sz w:val="32"/>
          <w:szCs w:val="32"/>
          <w:lang w:val="en-US" w:eastAsia="zh-CN"/>
        </w:rPr>
        <w:t>按院一等加分，优秀工作者、优秀志愿者按院二等加分。</w:t>
      </w:r>
    </w:p>
    <w:p w14:paraId="5C3F01E3">
      <w:pPr>
        <w:spacing w:line="560" w:lineRule="exact"/>
        <w:ind w:firstLine="640" w:firstLineChars="200"/>
        <w:rPr>
          <w:rFonts w:hint="eastAsia" w:ascii="仿宋" w:hAnsi="仿宋" w:eastAsia="仿宋" w:cs="仿宋"/>
          <w:color w:val="auto"/>
          <w:sz w:val="32"/>
          <w:szCs w:val="32"/>
          <w:lang w:val="en-US" w:eastAsia="zh-CN"/>
        </w:rPr>
      </w:pPr>
    </w:p>
    <w:p w14:paraId="00D1AFCA">
      <w:pPr>
        <w:numPr>
          <w:ilvl w:val="0"/>
          <w:numId w:val="2"/>
        </w:numPr>
        <w:spacing w:line="560" w:lineRule="exact"/>
        <w:ind w:firstLine="643" w:firstLineChars="200"/>
        <w:rPr>
          <w:rFonts w:hint="eastAsia" w:ascii="黑体" w:hAnsi="黑体" w:eastAsia="黑体" w:cs="仿宋"/>
          <w:b/>
          <w:bCs/>
          <w:color w:val="FF0000"/>
          <w:sz w:val="32"/>
          <w:szCs w:val="32"/>
          <w:lang w:val="en-US" w:eastAsia="zh-CN"/>
        </w:rPr>
      </w:pPr>
      <w:r>
        <w:rPr>
          <w:rFonts w:hint="eastAsia" w:ascii="黑体" w:hAnsi="黑体" w:eastAsia="黑体" w:cs="仿宋"/>
          <w:b/>
          <w:bCs/>
          <w:color w:val="FF0000"/>
          <w:sz w:val="32"/>
          <w:szCs w:val="32"/>
          <w:lang w:val="en-US" w:eastAsia="zh-CN"/>
        </w:rPr>
        <w:t>本单项奖学金参评分数须在90分以上。</w:t>
      </w:r>
    </w:p>
    <w:p w14:paraId="7ADC63A6">
      <w:pPr>
        <w:numPr>
          <w:ilvl w:val="0"/>
          <w:numId w:val="0"/>
        </w:numPr>
        <w:spacing w:line="560" w:lineRule="exact"/>
        <w:rPr>
          <w:rFonts w:hint="eastAsia" w:ascii="黑体" w:hAnsi="黑体" w:eastAsia="黑体" w:cs="仿宋"/>
          <w:b/>
          <w:bCs/>
          <w:color w:val="FF0000"/>
          <w:sz w:val="32"/>
          <w:szCs w:val="32"/>
          <w:lang w:val="en-US" w:eastAsia="zh-CN"/>
        </w:rPr>
      </w:pPr>
    </w:p>
    <w:p w14:paraId="76A429A7">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五、其它</w:t>
      </w:r>
    </w:p>
    <w:p w14:paraId="73329FB1">
      <w:pPr>
        <w:spacing w:line="560" w:lineRule="exact"/>
        <w:ind w:firstLine="640" w:firstLineChars="200"/>
        <w:rPr>
          <w:rFonts w:hint="eastAsia" w:ascii="仿宋" w:hAnsi="仿宋" w:eastAsia="仿宋" w:cs="仿宋"/>
          <w:bCs w:val="0"/>
          <w:color w:val="auto"/>
          <w:sz w:val="32"/>
          <w:szCs w:val="32"/>
          <w:lang w:bidi="ar"/>
        </w:rPr>
      </w:pPr>
      <w:r>
        <w:rPr>
          <w:rFonts w:hint="eastAsia" w:ascii="仿宋" w:hAnsi="仿宋" w:eastAsia="仿宋" w:cs="仿宋"/>
          <w:color w:val="auto"/>
          <w:sz w:val="32"/>
          <w:szCs w:val="32"/>
          <w:lang w:val="en-US" w:eastAsia="zh-CN"/>
        </w:rPr>
        <w:t>1、</w:t>
      </w:r>
      <w:r>
        <w:rPr>
          <w:rFonts w:hint="eastAsia" w:ascii="仿宋" w:hAnsi="仿宋" w:eastAsia="仿宋" w:cs="仿宋"/>
          <w:bCs w:val="0"/>
          <w:color w:val="auto"/>
          <w:sz w:val="32"/>
          <w:szCs w:val="32"/>
          <w:lang w:bidi="ar"/>
        </w:rPr>
        <w:t>未在规定时间内提供相关资料，或逾期补充材料视为无效。</w:t>
      </w:r>
    </w:p>
    <w:p w14:paraId="716B6179">
      <w:pPr>
        <w:spacing w:line="560" w:lineRule="exact"/>
        <w:ind w:firstLine="640" w:firstLineChars="200"/>
        <w:rPr>
          <w:rFonts w:hint="eastAsia" w:ascii="仿宋" w:hAnsi="仿宋" w:eastAsia="仿宋" w:cs="仿宋"/>
          <w:bCs w:val="0"/>
          <w:color w:val="auto"/>
          <w:sz w:val="32"/>
          <w:szCs w:val="32"/>
          <w:lang w:bidi="ar"/>
        </w:rPr>
      </w:pPr>
      <w:r>
        <w:rPr>
          <w:rFonts w:hint="eastAsia" w:ascii="仿宋" w:hAnsi="仿宋" w:eastAsia="仿宋" w:cs="仿宋"/>
          <w:b w:val="0"/>
          <w:color w:val="auto"/>
          <w:sz w:val="32"/>
          <w:szCs w:val="32"/>
          <w:lang w:val="en-US" w:eastAsia="zh-CN" w:bidi="ar"/>
        </w:rPr>
        <w:t xml:space="preserve">2、 </w:t>
      </w:r>
      <w:r>
        <w:rPr>
          <w:rFonts w:hint="eastAsia" w:ascii="仿宋" w:hAnsi="仿宋" w:eastAsia="仿宋" w:cs="仿宋"/>
          <w:bCs w:val="0"/>
          <w:color w:val="auto"/>
          <w:sz w:val="32"/>
          <w:szCs w:val="32"/>
          <w:lang w:bidi="ar"/>
        </w:rPr>
        <w:t>提供虚假材料、或者故意混淆视</w:t>
      </w:r>
      <w:r>
        <w:rPr>
          <w:rFonts w:hint="eastAsia" w:ascii="仿宋" w:hAnsi="仿宋" w:eastAsia="仿宋" w:cs="仿宋"/>
          <w:bCs w:val="0"/>
          <w:color w:val="auto"/>
          <w:sz w:val="32"/>
          <w:szCs w:val="32"/>
          <w:lang w:val="en-US" w:eastAsia="zh-CN" w:bidi="ar"/>
        </w:rPr>
        <w:t>听</w:t>
      </w:r>
      <w:r>
        <w:rPr>
          <w:rFonts w:hint="eastAsia" w:ascii="仿宋" w:hAnsi="仿宋" w:eastAsia="仿宋" w:cs="仿宋"/>
          <w:bCs w:val="0"/>
          <w:color w:val="auto"/>
          <w:sz w:val="32"/>
          <w:szCs w:val="32"/>
          <w:lang w:bidi="ar"/>
        </w:rPr>
        <w:t>参与评优评奖的</w:t>
      </w:r>
      <w:r>
        <w:rPr>
          <w:rFonts w:hint="eastAsia" w:ascii="仿宋" w:hAnsi="仿宋" w:eastAsia="仿宋" w:cs="仿宋"/>
          <w:bCs w:val="0"/>
          <w:color w:val="auto"/>
          <w:sz w:val="32"/>
          <w:szCs w:val="32"/>
          <w:lang w:eastAsia="zh-CN" w:bidi="ar"/>
        </w:rPr>
        <w:t>，</w:t>
      </w:r>
      <w:r>
        <w:rPr>
          <w:rFonts w:hint="eastAsia" w:ascii="仿宋" w:hAnsi="仿宋" w:eastAsia="仿宋" w:cs="仿宋"/>
          <w:bCs w:val="0"/>
          <w:color w:val="auto"/>
          <w:sz w:val="32"/>
          <w:szCs w:val="32"/>
          <w:lang w:val="en-US" w:eastAsia="zh-CN" w:bidi="ar"/>
        </w:rPr>
        <w:t>取消评奖资格的处理。</w:t>
      </w:r>
    </w:p>
    <w:p w14:paraId="364C86A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3、未尽事宜</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由学院党委会</w:t>
      </w:r>
      <w:r>
        <w:rPr>
          <w:rFonts w:hint="eastAsia" w:ascii="仿宋" w:hAnsi="仿宋" w:eastAsia="仿宋" w:cs="仿宋"/>
          <w:color w:val="auto"/>
          <w:sz w:val="32"/>
          <w:szCs w:val="32"/>
        </w:rPr>
        <w:t>讨论决定。</w:t>
      </w:r>
      <w:bookmarkEnd w:id="0"/>
    </w:p>
    <w:p w14:paraId="61EC7C15">
      <w:pPr>
        <w:spacing w:line="360" w:lineRule="auto"/>
        <w:jc w:val="right"/>
        <w:rPr>
          <w:rFonts w:hint="eastAsia" w:ascii="Times New Roman" w:hAnsi="Times New Roman" w:eastAsia="仿宋" w:cs="仿宋"/>
          <w:b/>
          <w:color w:val="auto"/>
          <w:sz w:val="28"/>
          <w:szCs w:val="28"/>
          <w:lang w:bidi="ar"/>
        </w:rPr>
      </w:pPr>
    </w:p>
    <w:p w14:paraId="3CDB665D">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资源与环境工程学院</w:t>
      </w:r>
    </w:p>
    <w:p w14:paraId="75393EC3">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喀斯特重点实验室</w:t>
      </w:r>
    </w:p>
    <w:p w14:paraId="2AB66AD5">
      <w:pPr>
        <w:spacing w:line="360" w:lineRule="auto"/>
        <w:jc w:val="right"/>
        <w:rPr>
          <w:color w:val="auto"/>
        </w:rPr>
      </w:pPr>
      <w:r>
        <w:rPr>
          <w:rFonts w:ascii="Times New Roman" w:hAnsi="Times New Roman" w:eastAsia="仿宋" w:cs="Times New Roman"/>
          <w:b/>
          <w:color w:val="auto"/>
          <w:sz w:val="28"/>
          <w:szCs w:val="28"/>
          <w:lang w:bidi="ar"/>
        </w:rPr>
        <w:t>20</w:t>
      </w:r>
      <w:r>
        <w:rPr>
          <w:rFonts w:hint="eastAsia" w:ascii="Times New Roman" w:hAnsi="Times New Roman" w:eastAsia="仿宋" w:cs="Times New Roman"/>
          <w:b/>
          <w:color w:val="auto"/>
          <w:sz w:val="28"/>
          <w:szCs w:val="28"/>
          <w:lang w:val="en-US" w:eastAsia="zh-CN" w:bidi="ar"/>
        </w:rPr>
        <w:t>25</w:t>
      </w:r>
      <w:r>
        <w:rPr>
          <w:rFonts w:hint="eastAsia" w:ascii="Times New Roman" w:hAnsi="Times New Roman" w:eastAsia="仿宋" w:cs="仿宋"/>
          <w:b/>
          <w:color w:val="auto"/>
          <w:sz w:val="28"/>
          <w:szCs w:val="28"/>
          <w:lang w:bidi="ar"/>
        </w:rPr>
        <w:t>年</w:t>
      </w:r>
      <w:r>
        <w:rPr>
          <w:rFonts w:hint="eastAsia" w:ascii="Times New Roman" w:hAnsi="Times New Roman" w:eastAsia="仿宋" w:cs="仿宋"/>
          <w:b/>
          <w:color w:val="auto"/>
          <w:sz w:val="28"/>
          <w:szCs w:val="28"/>
          <w:lang w:val="en-US" w:eastAsia="zh-CN" w:bidi="ar"/>
        </w:rPr>
        <w:t>5</w:t>
      </w:r>
      <w:r>
        <w:rPr>
          <w:rFonts w:hint="eastAsia" w:ascii="Times New Roman" w:hAnsi="Times New Roman" w:eastAsia="仿宋" w:cs="仿宋"/>
          <w:b/>
          <w:color w:val="auto"/>
          <w:sz w:val="28"/>
          <w:szCs w:val="28"/>
          <w:lang w:bidi="ar"/>
        </w:rPr>
        <w:t>月</w:t>
      </w:r>
    </w:p>
    <w:sectPr>
      <w:footerReference r:id="rId3" w:type="default"/>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0F7139-38D5-4960-B12B-BFC785E449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6252BDDC-6E21-4AB5-8D87-2F996DC599BB}"/>
  </w:font>
  <w:font w:name="方正小标宋简体">
    <w:panose1 w:val="02000000000000000000"/>
    <w:charset w:val="86"/>
    <w:family w:val="script"/>
    <w:pitch w:val="default"/>
    <w:sig w:usb0="00000001" w:usb1="08000000" w:usb2="00000000" w:usb3="00000000" w:csb0="00040000" w:csb1="00000000"/>
    <w:embedRegular r:id="rId3" w:fontKey="{3E11541E-2F3A-410B-8745-C6F8475215A2}"/>
  </w:font>
  <w:font w:name="楷体_GB2312">
    <w:panose1 w:val="02010609030101010101"/>
    <w:charset w:val="86"/>
    <w:family w:val="modern"/>
    <w:pitch w:val="default"/>
    <w:sig w:usb0="00000001" w:usb1="080E0000" w:usb2="00000000" w:usb3="00000000" w:csb0="00040000" w:csb1="00000000"/>
    <w:embedRegular r:id="rId4" w:fontKey="{BAB769E2-C8AD-4F35-9465-7C392537B8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83E3A">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3D336">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13D336">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C2524F"/>
    <w:multiLevelType w:val="singleLevel"/>
    <w:tmpl w:val="E6C2524F"/>
    <w:lvl w:ilvl="0" w:tentative="0">
      <w:start w:val="3"/>
      <w:numFmt w:val="decimal"/>
      <w:lvlText w:val="%1."/>
      <w:lvlJc w:val="left"/>
      <w:pPr>
        <w:tabs>
          <w:tab w:val="left" w:pos="312"/>
        </w:tabs>
      </w:pPr>
    </w:lvl>
  </w:abstractNum>
  <w:abstractNum w:abstractNumId="1">
    <w:nsid w:val="00000002"/>
    <w:multiLevelType w:val="singleLevel"/>
    <w:tmpl w:val="00000002"/>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lNmY2OTk1MmYyNzVhOGE3YmJjYWZjMzNhYmI2YmEifQ=="/>
  </w:docVars>
  <w:rsids>
    <w:rsidRoot w:val="26261DED"/>
    <w:rsid w:val="013C4854"/>
    <w:rsid w:val="06DF5D71"/>
    <w:rsid w:val="0878022B"/>
    <w:rsid w:val="09E1728F"/>
    <w:rsid w:val="0B3F7726"/>
    <w:rsid w:val="0E1D0139"/>
    <w:rsid w:val="12521AED"/>
    <w:rsid w:val="1537321C"/>
    <w:rsid w:val="164E6412"/>
    <w:rsid w:val="182718C5"/>
    <w:rsid w:val="1D816FC3"/>
    <w:rsid w:val="23FF13A9"/>
    <w:rsid w:val="26261DED"/>
    <w:rsid w:val="298A3E0B"/>
    <w:rsid w:val="29EA19A9"/>
    <w:rsid w:val="2C90798A"/>
    <w:rsid w:val="2EAB4607"/>
    <w:rsid w:val="31C96083"/>
    <w:rsid w:val="32E725C8"/>
    <w:rsid w:val="3431385A"/>
    <w:rsid w:val="356A61E3"/>
    <w:rsid w:val="357F234A"/>
    <w:rsid w:val="3A7A7584"/>
    <w:rsid w:val="3B9D4040"/>
    <w:rsid w:val="3BBB1019"/>
    <w:rsid w:val="3BFD7385"/>
    <w:rsid w:val="3C261771"/>
    <w:rsid w:val="3CC76A63"/>
    <w:rsid w:val="3E731599"/>
    <w:rsid w:val="43C6586D"/>
    <w:rsid w:val="45ED50AE"/>
    <w:rsid w:val="463173BC"/>
    <w:rsid w:val="47881FD6"/>
    <w:rsid w:val="47F830A4"/>
    <w:rsid w:val="4ABD14F2"/>
    <w:rsid w:val="4D742AA0"/>
    <w:rsid w:val="4EDC5297"/>
    <w:rsid w:val="4F7C405E"/>
    <w:rsid w:val="4FCB6460"/>
    <w:rsid w:val="510A745C"/>
    <w:rsid w:val="55C77E64"/>
    <w:rsid w:val="576E1507"/>
    <w:rsid w:val="59E720E8"/>
    <w:rsid w:val="5AF820D3"/>
    <w:rsid w:val="5B0F0D48"/>
    <w:rsid w:val="5B2E1D17"/>
    <w:rsid w:val="5B482651"/>
    <w:rsid w:val="5BB849D9"/>
    <w:rsid w:val="5C494E12"/>
    <w:rsid w:val="5C533A65"/>
    <w:rsid w:val="5D72616D"/>
    <w:rsid w:val="5EE27322"/>
    <w:rsid w:val="5EF70510"/>
    <w:rsid w:val="5EFD5F0A"/>
    <w:rsid w:val="5F337B7D"/>
    <w:rsid w:val="60801999"/>
    <w:rsid w:val="61D27FA2"/>
    <w:rsid w:val="620637F3"/>
    <w:rsid w:val="626562A0"/>
    <w:rsid w:val="64437BB5"/>
    <w:rsid w:val="65C6799D"/>
    <w:rsid w:val="680F2DDE"/>
    <w:rsid w:val="6A7A48B2"/>
    <w:rsid w:val="6B584C59"/>
    <w:rsid w:val="6D7777CF"/>
    <w:rsid w:val="6D9B34BE"/>
    <w:rsid w:val="6E8F2F95"/>
    <w:rsid w:val="71B339CF"/>
    <w:rsid w:val="71DC1B08"/>
    <w:rsid w:val="742E508B"/>
    <w:rsid w:val="76F03AE9"/>
    <w:rsid w:val="777A7C36"/>
    <w:rsid w:val="77F42148"/>
    <w:rsid w:val="78F7741A"/>
    <w:rsid w:val="7A5F66BA"/>
    <w:rsid w:val="7D407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1"/>
    <w:pPr>
      <w:spacing w:before="10"/>
      <w:ind w:left="140" w:firstLine="480"/>
    </w:pPr>
    <w:rPr>
      <w:rFonts w:ascii="仿宋" w:hAnsi="仿宋" w:eastAsia="仿宋"/>
      <w:sz w:val="24"/>
      <w:szCs w:val="24"/>
    </w:rPr>
  </w:style>
  <w:style w:type="paragraph" w:styleId="3">
    <w:name w:val="footer"/>
    <w:basedOn w:val="1"/>
    <w:autoRedefine/>
    <w:qFormat/>
    <w:uiPriority w:val="0"/>
    <w:pPr>
      <w:tabs>
        <w:tab w:val="center" w:pos="4153"/>
        <w:tab w:val="right" w:pos="8306"/>
      </w:tabs>
      <w:snapToGrid w:val="0"/>
      <w:jc w:val="left"/>
    </w:pPr>
    <w:rPr>
      <w:sz w:val="18"/>
      <w:szCs w:val="18"/>
    </w:rPr>
  </w:style>
  <w:style w:type="character" w:customStyle="1" w:styleId="6">
    <w:name w:val="font21"/>
    <w:basedOn w:val="5"/>
    <w:autoRedefine/>
    <w:qFormat/>
    <w:uiPriority w:val="0"/>
    <w:rPr>
      <w:rFonts w:hint="eastAsia" w:ascii="仿宋" w:hAnsi="仿宋" w:eastAsia="仿宋" w:cs="仿宋"/>
      <w:color w:val="000000"/>
      <w:sz w:val="21"/>
      <w:szCs w:val="21"/>
      <w:u w:val="none"/>
    </w:rPr>
  </w:style>
  <w:style w:type="character" w:customStyle="1" w:styleId="7">
    <w:name w:val="font41"/>
    <w:basedOn w:val="5"/>
    <w:autoRedefine/>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2872</Words>
  <Characters>3057</Characters>
  <Lines>0</Lines>
  <Paragraphs>0</Paragraphs>
  <TotalTime>0</TotalTime>
  <ScaleCrop>false</ScaleCrop>
  <LinksUpToDate>false</LinksUpToDate>
  <CharactersWithSpaces>3119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2022-10-27T07:48:00Z</dcterms:created>
  <dc:creator>test</dc:creator>
  <cp:lastModifiedBy>心</cp:lastModifiedBy>
  <cp:lastPrinted>2024-12-23T02:50:00Z</cp:lastPrinted>
  <dcterms:modified xsi:type="dcterms:W3CDTF">2025-05-20T08:58:23Z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8E50463D8EB24A009C5804316495D1DF_13</vt:lpwstr>
  </property>
  <property fmtid="{D5CDD505-2E9C-101B-9397-08002B2CF9AE}" pid="4" name="KSOTemplateDocerSaveRecord">
    <vt:lpwstr>eyJoZGlkIjoiMmIwNDQ0MGE2MjJlYzI2YjEwODliMmEzMWU5OTNiM2MiLCJ1c2VySWQiOiI0NTI3NjI2ODkifQ==</vt:lpwstr>
  </property>
</Properties>
</file>